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8BC6" w14:textId="6540844B" w:rsidR="003468AF" w:rsidRDefault="003468AF"/>
    <w:p w14:paraId="7720289B" w14:textId="25BFBC87" w:rsidR="001E6AEC" w:rsidRDefault="001E6AEC"/>
    <w:p w14:paraId="47B04A7A" w14:textId="77777777" w:rsidR="00534CA3" w:rsidRDefault="00534CA3"/>
    <w:p w14:paraId="29578F1F" w14:textId="77777777" w:rsidR="003468AF" w:rsidRDefault="003468AF"/>
    <w:p w14:paraId="500ED55D" w14:textId="484EE98E" w:rsidR="003468AF" w:rsidRDefault="003468AF">
      <w:r>
        <w:t xml:space="preserve">EIT.swiss </w:t>
      </w:r>
    </w:p>
    <w:p w14:paraId="29D53431" w14:textId="1B6FB59E" w:rsidR="003468AF" w:rsidRDefault="003468AF">
      <w:r>
        <w:t>Herrn Simon Hämmerli, Direktor</w:t>
      </w:r>
    </w:p>
    <w:p w14:paraId="18534C21" w14:textId="693B57D2" w:rsidR="003468AF" w:rsidRDefault="003468AF">
      <w:r>
        <w:t xml:space="preserve">Herrn Daniel </w:t>
      </w:r>
      <w:proofErr w:type="spellStart"/>
      <w:r>
        <w:t>Schlienger</w:t>
      </w:r>
      <w:proofErr w:type="spellEnd"/>
      <w:r>
        <w:t>, Projektverantwortlicher</w:t>
      </w:r>
    </w:p>
    <w:p w14:paraId="71D1B639" w14:textId="553037AD" w:rsidR="003468AF" w:rsidRDefault="003468AF">
      <w:r>
        <w:t>Limmatstrasse 63</w:t>
      </w:r>
    </w:p>
    <w:p w14:paraId="35D4BD31" w14:textId="4DF1D2C0" w:rsidR="003468AF" w:rsidRDefault="003468AF">
      <w:r>
        <w:t>8005 Zürich</w:t>
      </w:r>
    </w:p>
    <w:p w14:paraId="7AED18DF" w14:textId="72546C7B" w:rsidR="003468AF" w:rsidRDefault="003468AF"/>
    <w:p w14:paraId="2BD2A891" w14:textId="4B997C25" w:rsidR="00093366" w:rsidRDefault="00093366"/>
    <w:p w14:paraId="5A3C7D7E" w14:textId="5DA733BF" w:rsidR="00093366" w:rsidRDefault="00093366"/>
    <w:p w14:paraId="72791295" w14:textId="29CAC30F" w:rsidR="00093366" w:rsidRDefault="00093366"/>
    <w:p w14:paraId="62A9E3B3" w14:textId="77777777" w:rsidR="00093366" w:rsidRDefault="00093366"/>
    <w:p w14:paraId="12D1F45B" w14:textId="4233D1EE" w:rsidR="003468AF" w:rsidRDefault="00093366">
      <w:r w:rsidRPr="00093366">
        <w:rPr>
          <w:u w:val="single"/>
        </w:rPr>
        <w:t xml:space="preserve">vorab per </w:t>
      </w:r>
      <w:proofErr w:type="spellStart"/>
      <w:r w:rsidRPr="00093366">
        <w:rPr>
          <w:u w:val="single"/>
        </w:rPr>
        <w:t>e-mail</w:t>
      </w:r>
      <w:proofErr w:type="spellEnd"/>
      <w:r>
        <w:t>:</w:t>
      </w:r>
    </w:p>
    <w:p w14:paraId="5909786B" w14:textId="27973967" w:rsidR="00093366" w:rsidRDefault="00093366">
      <w:r>
        <w:t>simon.haemmerli@eitswiss.ch</w:t>
      </w:r>
    </w:p>
    <w:p w14:paraId="2F1FFAB4" w14:textId="6809286C" w:rsidR="003468AF" w:rsidRDefault="00093366">
      <w:r>
        <w:t>daniel.schlienger@eitswiss.ch</w:t>
      </w:r>
    </w:p>
    <w:p w14:paraId="019E305B" w14:textId="6E1C3CAE" w:rsidR="003468AF" w:rsidRDefault="003468AF"/>
    <w:p w14:paraId="4C50DBAB" w14:textId="0CCC905A" w:rsidR="00CF130E" w:rsidRDefault="00CF130E"/>
    <w:p w14:paraId="1ECA7828" w14:textId="77777777" w:rsidR="001335F1" w:rsidRDefault="001335F1"/>
    <w:p w14:paraId="380C6A9F" w14:textId="6CE3EFF2" w:rsidR="003468AF" w:rsidRPr="001335F1" w:rsidRDefault="0081126D">
      <w:r w:rsidRPr="0081126D">
        <w:rPr>
          <w:highlight w:val="yellow"/>
        </w:rPr>
        <w:t>Ort</w:t>
      </w:r>
      <w:r w:rsidR="001335F1" w:rsidRPr="0081126D">
        <w:rPr>
          <w:highlight w:val="yellow"/>
        </w:rPr>
        <w:t>,</w:t>
      </w:r>
      <w:r w:rsidRPr="0081126D">
        <w:rPr>
          <w:highlight w:val="yellow"/>
        </w:rPr>
        <w:t xml:space="preserve"> Datum</w:t>
      </w:r>
    </w:p>
    <w:p w14:paraId="529A6A6C" w14:textId="77777777" w:rsidR="003468AF" w:rsidRDefault="003468AF"/>
    <w:p w14:paraId="3468B579" w14:textId="30358F18" w:rsidR="003468AF" w:rsidRDefault="003468AF"/>
    <w:p w14:paraId="11BF6230" w14:textId="76269670" w:rsidR="003468AF" w:rsidRDefault="003468AF"/>
    <w:p w14:paraId="55530C80" w14:textId="77777777" w:rsidR="003468AF" w:rsidRPr="003468AF" w:rsidRDefault="003468AF">
      <w:pPr>
        <w:rPr>
          <w:b/>
          <w:bCs/>
        </w:rPr>
      </w:pPr>
      <w:r w:rsidRPr="003468AF">
        <w:rPr>
          <w:b/>
          <w:bCs/>
        </w:rPr>
        <w:t xml:space="preserve">Anhörung der Trägerschaft EIT.swiss und ICT-Berufsbildung Schweiz </w:t>
      </w:r>
    </w:p>
    <w:p w14:paraId="41664012" w14:textId="6E136011" w:rsidR="003468AF" w:rsidRPr="003468AF" w:rsidRDefault="003468AF">
      <w:pPr>
        <w:rPr>
          <w:b/>
          <w:bCs/>
        </w:rPr>
      </w:pPr>
      <w:r w:rsidRPr="003468AF">
        <w:rPr>
          <w:b/>
          <w:bCs/>
        </w:rPr>
        <w:t>zur Grundbildung «Gebäudeinformatiker/in EFZ»</w:t>
      </w:r>
    </w:p>
    <w:p w14:paraId="785956A5" w14:textId="165DFC7E" w:rsidR="003468AF" w:rsidRDefault="003468AF"/>
    <w:p w14:paraId="2EAC2DB0" w14:textId="1E619075" w:rsidR="003468AF" w:rsidRDefault="003468AF"/>
    <w:p w14:paraId="4F36317B" w14:textId="77777777" w:rsidR="0081126D" w:rsidRDefault="003468AF">
      <w:r>
        <w:t>Sehr geehrte</w:t>
      </w:r>
      <w:r w:rsidR="0081126D">
        <w:t>r</w:t>
      </w:r>
      <w:r>
        <w:t xml:space="preserve"> Herr </w:t>
      </w:r>
      <w:r w:rsidR="0081126D">
        <w:t>Hämmerli</w:t>
      </w:r>
    </w:p>
    <w:p w14:paraId="1FEF91FA" w14:textId="09947B08" w:rsidR="003468AF" w:rsidRDefault="0081126D">
      <w:r>
        <w:t xml:space="preserve">Sehr geehrter Herr </w:t>
      </w:r>
      <w:proofErr w:type="spellStart"/>
      <w:r>
        <w:t>Schlienger</w:t>
      </w:r>
      <w:proofErr w:type="spellEnd"/>
    </w:p>
    <w:p w14:paraId="0CC7F852" w14:textId="20B9BAF9" w:rsidR="003468AF" w:rsidRDefault="003468AF"/>
    <w:p w14:paraId="1046B4A8" w14:textId="437A8076" w:rsidR="003468AF" w:rsidRDefault="003468AF">
      <w:r>
        <w:t>Wir kommen zurück auf die am 20.01.2020 eröffnete Anhörung zur Grundbildung «Gebäudeinformatiker/in EFZ» mit Eingabefrist bis 14.02.2020. Als Dokumente wurden die Bildungsverordnung (</w:t>
      </w:r>
      <w:proofErr w:type="spellStart"/>
      <w:r>
        <w:t>BiVo</w:t>
      </w:r>
      <w:proofErr w:type="spellEnd"/>
      <w:r>
        <w:t>) sowie der Bildungsplan (</w:t>
      </w:r>
      <w:proofErr w:type="spellStart"/>
      <w:r>
        <w:t>BiPla</w:t>
      </w:r>
      <w:proofErr w:type="spellEnd"/>
      <w:r>
        <w:t>) elektronisch verfügbar gemacht</w:t>
      </w:r>
      <w:r w:rsidR="00026B39">
        <w:t xml:space="preserve"> und eine Umfrage mittels Survey-Monkey eingerichtet</w:t>
      </w:r>
      <w:r>
        <w:t>.</w:t>
      </w:r>
    </w:p>
    <w:p w14:paraId="0765F631" w14:textId="6DA25A70" w:rsidR="003468AF" w:rsidRDefault="003468AF"/>
    <w:p w14:paraId="7B269095" w14:textId="4411759D" w:rsidR="003468AF" w:rsidRDefault="003468AF">
      <w:r>
        <w:t xml:space="preserve">Als erstes wollen wir die grosse Arbeit, die in den verschiedenen Gremien geleistet wurde, um die Grundlagen für den neuen Beruf Gebäudeinformatiker/in EFZ zu erarbeiten, verdanken. </w:t>
      </w:r>
      <w:r w:rsidR="001B4688">
        <w:t>Wir wissen, dass es sich dabei um ein sehr komplexes Projekt handelt und sind froh, dass der Lead durch EIT.swiss wahrgenommen wird.</w:t>
      </w:r>
    </w:p>
    <w:p w14:paraId="671D3461" w14:textId="77777777" w:rsidR="0081126D" w:rsidRDefault="0081126D"/>
    <w:p w14:paraId="7D53528B" w14:textId="3B5351A2" w:rsidR="00A74810" w:rsidRDefault="0081126D">
      <w:r>
        <w:t>Wir verzichten darauf, die Stellungnahme mittels</w:t>
      </w:r>
      <w:r w:rsidR="00026B39">
        <w:t xml:space="preserve"> online-Umfragewerkzeug </w:t>
      </w:r>
      <w:r w:rsidR="001B4688">
        <w:t xml:space="preserve">Survey-Monkey </w:t>
      </w:r>
      <w:r w:rsidR="00026B39">
        <w:t>einzugeben</w:t>
      </w:r>
      <w:r>
        <w:t>. Sie erhalten unsere Stellungnahme auf den folgenden Seiten:</w:t>
      </w:r>
    </w:p>
    <w:p w14:paraId="69BD62F6" w14:textId="218A5960" w:rsidR="001B4688" w:rsidRDefault="001B4688"/>
    <w:p w14:paraId="539381D4" w14:textId="3E7B64C6" w:rsidR="001B4688" w:rsidRPr="00E52527" w:rsidRDefault="00E52527">
      <w:pPr>
        <w:rPr>
          <w:b/>
          <w:bCs/>
        </w:rPr>
      </w:pPr>
      <w:r>
        <w:rPr>
          <w:b/>
          <w:bCs/>
        </w:rPr>
        <w:t>Einleitende</w:t>
      </w:r>
      <w:r w:rsidR="00026B39" w:rsidRPr="00E52527">
        <w:rPr>
          <w:b/>
          <w:bCs/>
        </w:rPr>
        <w:t xml:space="preserve"> </w:t>
      </w:r>
      <w:r>
        <w:rPr>
          <w:b/>
          <w:bCs/>
        </w:rPr>
        <w:t>Erläuterungen</w:t>
      </w:r>
      <w:r w:rsidR="00026B39" w:rsidRPr="00E52527">
        <w:rPr>
          <w:b/>
          <w:bCs/>
        </w:rPr>
        <w:t xml:space="preserve"> zur neuen Grundbildung Gebäudeinformatiker/in EFZ:</w:t>
      </w:r>
    </w:p>
    <w:p w14:paraId="6019EAB2" w14:textId="77777777" w:rsidR="00E52527" w:rsidRDefault="00E52527" w:rsidP="001E6AEC">
      <w:pPr>
        <w:pStyle w:val="Listenabsatz"/>
        <w:numPr>
          <w:ilvl w:val="0"/>
          <w:numId w:val="2"/>
        </w:numPr>
        <w:spacing w:before="40"/>
        <w:ind w:left="714" w:hanging="357"/>
        <w:contextualSpacing w:val="0"/>
      </w:pPr>
      <w:r>
        <w:t xml:space="preserve">Als Zielgruppe für Schulabgänger sehen wir gute Sek A Schüler. </w:t>
      </w:r>
    </w:p>
    <w:p w14:paraId="2D4ACDAA" w14:textId="1061799F" w:rsidR="00B43B89" w:rsidRDefault="00026B39" w:rsidP="001E6AEC">
      <w:pPr>
        <w:pStyle w:val="Listenabsatz"/>
        <w:numPr>
          <w:ilvl w:val="0"/>
          <w:numId w:val="2"/>
        </w:numPr>
        <w:spacing w:before="40"/>
        <w:ind w:left="714" w:hanging="357"/>
        <w:contextualSpacing w:val="0"/>
      </w:pPr>
      <w:r>
        <w:t xml:space="preserve">Beim Studium der Unterlagen haben wir festgestellt, dass die Anforderungen an den Gebäudeinformatiker/in EFZ zu </w:t>
      </w:r>
      <w:proofErr w:type="spellStart"/>
      <w:r>
        <w:t>projektlastig</w:t>
      </w:r>
      <w:proofErr w:type="spellEnd"/>
      <w:r>
        <w:t xml:space="preserve"> sind. </w:t>
      </w:r>
    </w:p>
    <w:p w14:paraId="068378B8" w14:textId="07A7B2EB" w:rsidR="00026B39" w:rsidRDefault="00026B39" w:rsidP="001E6AEC">
      <w:pPr>
        <w:pStyle w:val="Listenabsatz"/>
        <w:numPr>
          <w:ilvl w:val="0"/>
          <w:numId w:val="2"/>
        </w:numPr>
        <w:spacing w:before="40"/>
        <w:ind w:left="714" w:hanging="357"/>
        <w:contextualSpacing w:val="0"/>
      </w:pPr>
      <w:r>
        <w:lastRenderedPageBreak/>
        <w:t xml:space="preserve">Die Handlungskompetenzen in Art. 4 </w:t>
      </w:r>
      <w:proofErr w:type="spellStart"/>
      <w:r>
        <w:t>BiVo</w:t>
      </w:r>
      <w:proofErr w:type="spellEnd"/>
      <w:r>
        <w:t xml:space="preserve"> sind aus unserer Sicht für eine Grundbildung zu hoch und sollten auf die technischen Grundlagen und Inhalte konzentriert sein. Die weiteren Inhalte gehören in die berufliche Weiterbildung.</w:t>
      </w:r>
    </w:p>
    <w:p w14:paraId="4E366BD5" w14:textId="42407EF9" w:rsidR="00093366" w:rsidRDefault="00E52527" w:rsidP="001E6AEC">
      <w:pPr>
        <w:pStyle w:val="Listenabsatz"/>
        <w:numPr>
          <w:ilvl w:val="0"/>
          <w:numId w:val="2"/>
        </w:numPr>
        <w:spacing w:before="40"/>
        <w:ind w:left="714" w:hanging="357"/>
        <w:contextualSpacing w:val="0"/>
      </w:pPr>
      <w:r w:rsidRPr="00E52527">
        <w:t>Die Leistungsziele im Bildungsplan sind bei Betrieb</w:t>
      </w:r>
      <w:r>
        <w:t xml:space="preserve"> detailliert und gewichtet (mit Taxonomie) vorhanden. Die Leistungsziele für die BFS und den </w:t>
      </w:r>
      <w:proofErr w:type="spellStart"/>
      <w:r>
        <w:t>üK</w:t>
      </w:r>
      <w:proofErr w:type="spellEnd"/>
      <w:r>
        <w:t xml:space="preserve"> fehlen resp. sind vorliegend nicht fassbar. Dies muss ergänzt werden (Handlungskompetenzen + Taxonomie). </w:t>
      </w:r>
      <w:r w:rsidR="001B63B8">
        <w:t xml:space="preserve">Die Lernziele für Praktika sind nicht definiert (z.B. Programmierung Firewall, Netzwerk aufschalten etc.). </w:t>
      </w:r>
      <w:r>
        <w:t>Für uns ist der vorliegende Bildungsplan</w:t>
      </w:r>
      <w:r w:rsidR="001B63B8">
        <w:t>, auch im Vergleich zu den Grundbildungen Elektroinstallateur/in EFZ und Montage-Elektriker/in EFZ,</w:t>
      </w:r>
      <w:r>
        <w:t xml:space="preserve"> unvollständig und «nicht fertig». </w:t>
      </w:r>
    </w:p>
    <w:p w14:paraId="3F53FE28" w14:textId="50768948" w:rsidR="00093366" w:rsidRDefault="00093366" w:rsidP="001E6AEC">
      <w:pPr>
        <w:pStyle w:val="Listenabsatz"/>
        <w:numPr>
          <w:ilvl w:val="0"/>
          <w:numId w:val="2"/>
        </w:numPr>
        <w:spacing w:before="40"/>
        <w:ind w:left="714" w:hanging="357"/>
        <w:contextualSpacing w:val="0"/>
      </w:pPr>
      <w:r>
        <w:t xml:space="preserve">Für die </w:t>
      </w:r>
      <w:proofErr w:type="spellStart"/>
      <w:r>
        <w:t>üK</w:t>
      </w:r>
      <w:proofErr w:type="spellEnd"/>
      <w:r>
        <w:t xml:space="preserve">-Trägerschaft sind neu EIT.swiss und ICT-Berufsbildung Schweiz festgelegt. Als Sektion sind wir damit nicht einverstanden (Vergleiche auch Antrag/Ausführungen Art. 24 </w:t>
      </w:r>
      <w:proofErr w:type="spellStart"/>
      <w:r>
        <w:t>BiVo</w:t>
      </w:r>
      <w:proofErr w:type="spellEnd"/>
      <w:r>
        <w:t xml:space="preserve">). Im </w:t>
      </w:r>
      <w:proofErr w:type="spellStart"/>
      <w:r>
        <w:t>BiPla</w:t>
      </w:r>
      <w:proofErr w:type="spellEnd"/>
      <w:r>
        <w:t xml:space="preserve"> fehlen die organisatorischen Hinweise zu den </w:t>
      </w:r>
      <w:proofErr w:type="spellStart"/>
      <w:r>
        <w:t>üK</w:t>
      </w:r>
      <w:proofErr w:type="spellEnd"/>
      <w:r>
        <w:t xml:space="preserve"> (Aufteilung, Dauer, Aufgaben Kurskommission etc.).</w:t>
      </w:r>
    </w:p>
    <w:p w14:paraId="4787A6C1" w14:textId="5C9FFD77" w:rsidR="00E52527" w:rsidRPr="00093366" w:rsidRDefault="00E44D09" w:rsidP="001E6AEC">
      <w:pPr>
        <w:pStyle w:val="Listenabsatz"/>
        <w:numPr>
          <w:ilvl w:val="0"/>
          <w:numId w:val="2"/>
        </w:numPr>
        <w:spacing w:before="40"/>
        <w:ind w:left="714" w:hanging="357"/>
        <w:contextualSpacing w:val="0"/>
      </w:pPr>
      <w:r w:rsidRPr="00093366">
        <w:t xml:space="preserve">Die Netzwerksicherheit </w:t>
      </w:r>
      <w:r w:rsidR="00093366" w:rsidRPr="00093366">
        <w:t xml:space="preserve">wird in der Fachrichtung Kommunikation und Multimedia gewichtet. In der Gebäudeautomation ist die Netzwerksicherheit kaum vorhanden. Aus unserer Sicht sollte die Netzwerksicherheit in allen Fachrichtungen stärker gewichtet werden resp. im gemeinsamen Teil integriert werden. </w:t>
      </w:r>
    </w:p>
    <w:p w14:paraId="3B8BD879" w14:textId="77777777" w:rsidR="00093366" w:rsidRDefault="00093366"/>
    <w:p w14:paraId="7E050CE2" w14:textId="3D8345C6" w:rsidR="0047710C" w:rsidRPr="00E52527" w:rsidRDefault="00026B39" w:rsidP="001E6AEC">
      <w:pPr>
        <w:spacing w:after="60"/>
        <w:rPr>
          <w:b/>
          <w:bCs/>
        </w:rPr>
      </w:pPr>
      <w:r w:rsidRPr="00E52527">
        <w:rPr>
          <w:b/>
          <w:bCs/>
        </w:rPr>
        <w:t xml:space="preserve">Stellungnahme / Anträge zur </w:t>
      </w:r>
      <w:proofErr w:type="spellStart"/>
      <w:r w:rsidRPr="00E52527">
        <w:rPr>
          <w:b/>
          <w:bCs/>
        </w:rPr>
        <w:t>BiVo</w:t>
      </w:r>
      <w:proofErr w:type="spellEnd"/>
      <w:r w:rsidRPr="00E52527">
        <w:rPr>
          <w:b/>
          <w:bCs/>
        </w:rPr>
        <w:t xml:space="preserve"> Gebäudeinformatiker/in EFZ:</w:t>
      </w:r>
    </w:p>
    <w:tbl>
      <w:tblPr>
        <w:tblStyle w:val="Tabellenraster"/>
        <w:tblW w:w="0" w:type="auto"/>
        <w:tblLook w:val="04A0" w:firstRow="1" w:lastRow="0" w:firstColumn="1" w:lastColumn="0" w:noHBand="0" w:noVBand="1"/>
      </w:tblPr>
      <w:tblGrid>
        <w:gridCol w:w="2689"/>
        <w:gridCol w:w="6939"/>
      </w:tblGrid>
      <w:tr w:rsidR="00026B39" w:rsidRPr="00A42937" w14:paraId="2A237D36" w14:textId="77777777" w:rsidTr="00026B39">
        <w:tc>
          <w:tcPr>
            <w:tcW w:w="2689" w:type="dxa"/>
          </w:tcPr>
          <w:p w14:paraId="2C1A5EA1" w14:textId="50B1BC35" w:rsidR="00026B39" w:rsidRPr="00A42937" w:rsidRDefault="00026B39">
            <w:pPr>
              <w:rPr>
                <w:rFonts w:cstheme="minorHAnsi"/>
              </w:rPr>
            </w:pPr>
            <w:r w:rsidRPr="00A42937">
              <w:rPr>
                <w:rFonts w:cstheme="minorHAnsi"/>
              </w:rPr>
              <w:t>Art. 4 Handlungskompetenzen</w:t>
            </w:r>
          </w:p>
        </w:tc>
        <w:tc>
          <w:tcPr>
            <w:tcW w:w="6939" w:type="dxa"/>
          </w:tcPr>
          <w:p w14:paraId="6527AA91" w14:textId="77777777" w:rsidR="00026B39" w:rsidRPr="00A42937" w:rsidRDefault="00026B39" w:rsidP="00026B39">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 xml:space="preserve">Für eine Grundbildung ist das Niveau zu hoch. </w:t>
            </w:r>
          </w:p>
          <w:p w14:paraId="77210388" w14:textId="1289311B" w:rsidR="00026B39" w:rsidRPr="00A42937" w:rsidRDefault="00026B39" w:rsidP="00026B39">
            <w:pPr>
              <w:rPr>
                <w:rFonts w:cstheme="minorHAnsi"/>
              </w:rPr>
            </w:pPr>
            <w:r w:rsidRPr="00A42937">
              <w:rPr>
                <w:rFonts w:cstheme="minorHAnsi"/>
              </w:rPr>
              <w:t>Es ist zu projektmanagementbezogen (z.B. Kostenentwicklung, Visualisierung, Präsentation, integrale Tests GKM-Systeme gehört in Weiterbildung). Wer verfügt über die qualifizierten Schulabgänger für eine solche Grundbildung</w:t>
            </w:r>
            <w:r w:rsidR="00CF130E">
              <w:rPr>
                <w:rFonts w:cstheme="minorHAnsi"/>
              </w:rPr>
              <w:t>?</w:t>
            </w:r>
            <w:r w:rsidRPr="00A42937">
              <w:rPr>
                <w:rFonts w:cstheme="minorHAnsi"/>
              </w:rPr>
              <w:t xml:space="preserve"> Aus Erfahrung aus dem Bereich Telematiker kann festgestellt werden, dass die Anforderungen nochmals deutlich höher sind. Gibt es Schulabgänger in genügender Anzahl und Qualität für das benötigte Mengengerüst?</w:t>
            </w:r>
          </w:p>
          <w:p w14:paraId="0AAD019C" w14:textId="20BFBF77" w:rsidR="00026B39" w:rsidRPr="00A42937" w:rsidRDefault="00026B39" w:rsidP="00026B39">
            <w:pPr>
              <w:rPr>
                <w:rFonts w:cstheme="minorHAnsi"/>
              </w:rPr>
            </w:pPr>
          </w:p>
        </w:tc>
      </w:tr>
      <w:tr w:rsidR="00026B39" w:rsidRPr="00A42937" w14:paraId="769491FC" w14:textId="77777777" w:rsidTr="00026B39">
        <w:tc>
          <w:tcPr>
            <w:tcW w:w="2689" w:type="dxa"/>
          </w:tcPr>
          <w:p w14:paraId="624C6050" w14:textId="567AE355" w:rsidR="00026B39" w:rsidRPr="00A42937" w:rsidRDefault="00026B39">
            <w:pPr>
              <w:rPr>
                <w:rFonts w:cstheme="minorHAnsi"/>
              </w:rPr>
            </w:pPr>
            <w:r w:rsidRPr="00A42937">
              <w:rPr>
                <w:rFonts w:cstheme="minorHAnsi"/>
              </w:rPr>
              <w:t xml:space="preserve">Art. 6 </w:t>
            </w:r>
          </w:p>
          <w:p w14:paraId="318EFFBC" w14:textId="5E0CFD60" w:rsidR="00026B39" w:rsidRPr="00A42937" w:rsidRDefault="00026B39">
            <w:pPr>
              <w:rPr>
                <w:rFonts w:cstheme="minorHAnsi"/>
              </w:rPr>
            </w:pPr>
            <w:r w:rsidRPr="00A42937">
              <w:rPr>
                <w:rFonts w:cstheme="minorHAnsi"/>
              </w:rPr>
              <w:t>Bildung in beruflicher Praxis im Betrieb und an vergleichbaren Lernorten;</w:t>
            </w:r>
          </w:p>
          <w:p w14:paraId="2E875BA8" w14:textId="212AA2A1" w:rsidR="00026B39" w:rsidRPr="00A42937" w:rsidRDefault="00026B39">
            <w:pPr>
              <w:rPr>
                <w:rFonts w:cstheme="minorHAnsi"/>
              </w:rPr>
            </w:pPr>
            <w:r w:rsidRPr="00A42937">
              <w:rPr>
                <w:rFonts w:cstheme="minorHAnsi"/>
              </w:rPr>
              <w:t xml:space="preserve">Abs. 2 Praktika für Lernende Fachrichtung Planung </w:t>
            </w:r>
          </w:p>
        </w:tc>
        <w:tc>
          <w:tcPr>
            <w:tcW w:w="6939" w:type="dxa"/>
          </w:tcPr>
          <w:p w14:paraId="5CBE83B4" w14:textId="7CEBE45F" w:rsidR="00026B39" w:rsidRPr="00A42937" w:rsidRDefault="00026B39" w:rsidP="00026B39">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 xml:space="preserve">Antrag: </w:t>
            </w:r>
            <w:proofErr w:type="gramStart"/>
            <w:r w:rsidRPr="00A42937">
              <w:rPr>
                <w:rFonts w:asciiTheme="minorHAnsi" w:hAnsiTheme="minorHAnsi" w:cstheme="minorHAnsi"/>
                <w:b/>
                <w:bCs/>
                <w:sz w:val="22"/>
                <w:szCs w:val="22"/>
                <w:lang w:val="de-CH"/>
              </w:rPr>
              <w:t>Ein Praktika</w:t>
            </w:r>
            <w:proofErr w:type="gramEnd"/>
            <w:r w:rsidRPr="00A42937">
              <w:rPr>
                <w:rFonts w:asciiTheme="minorHAnsi" w:hAnsiTheme="minorHAnsi" w:cstheme="minorHAnsi"/>
                <w:b/>
                <w:bCs/>
                <w:sz w:val="22"/>
                <w:szCs w:val="22"/>
                <w:lang w:val="de-CH"/>
              </w:rPr>
              <w:t xml:space="preserve"> im 3. Lehrjahr in jener Fachrichtung, wo sich der Lernende später weiterentwickeln will.</w:t>
            </w:r>
          </w:p>
          <w:p w14:paraId="25E881B7" w14:textId="77777777" w:rsidR="00026B39" w:rsidRPr="00A42937" w:rsidRDefault="00026B39" w:rsidP="00026B39">
            <w:pPr>
              <w:pStyle w:val="Kommentartext"/>
              <w:rPr>
                <w:rFonts w:asciiTheme="minorHAnsi" w:hAnsiTheme="minorHAnsi" w:cstheme="minorHAnsi"/>
                <w:sz w:val="22"/>
                <w:szCs w:val="22"/>
                <w:lang w:val="de-CH"/>
              </w:rPr>
            </w:pPr>
            <w:proofErr w:type="gramStart"/>
            <w:r w:rsidRPr="00A42937">
              <w:rPr>
                <w:rFonts w:asciiTheme="minorHAnsi" w:hAnsiTheme="minorHAnsi" w:cstheme="minorHAnsi"/>
                <w:sz w:val="22"/>
                <w:szCs w:val="22"/>
                <w:lang w:val="de-CH"/>
              </w:rPr>
              <w:t>Ein Praktika</w:t>
            </w:r>
            <w:proofErr w:type="gramEnd"/>
            <w:r w:rsidRPr="00A42937">
              <w:rPr>
                <w:rFonts w:asciiTheme="minorHAnsi" w:hAnsiTheme="minorHAnsi" w:cstheme="minorHAnsi"/>
                <w:sz w:val="22"/>
                <w:szCs w:val="22"/>
                <w:lang w:val="de-CH"/>
              </w:rPr>
              <w:t xml:space="preserve"> im 2. Lehrjahr ist zu früh, da das technische Know-how noch nicht vorhanden ist. Es besteht das Risiko, dass ein Praktikant im 2. Lehrjahr zur «billigen» Hilfskraft wird.</w:t>
            </w:r>
          </w:p>
          <w:p w14:paraId="16355056" w14:textId="342657D2"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Die Frage nach der Anzahl Praktika-Plätze v.a. bei der Fachrichtung Kommunikation und Multimedia stellt sich je nach Mengengerüst der Anzahl Lehrverhältnisse. </w:t>
            </w:r>
          </w:p>
          <w:p w14:paraId="19D40A1C" w14:textId="77777777" w:rsidR="00026B39" w:rsidRPr="00093366" w:rsidRDefault="00026B39" w:rsidP="00026B39">
            <w:pPr>
              <w:pStyle w:val="Kommentartext"/>
              <w:rPr>
                <w:rFonts w:asciiTheme="minorHAnsi" w:hAnsiTheme="minorHAnsi" w:cstheme="minorHAnsi"/>
                <w:sz w:val="22"/>
                <w:szCs w:val="22"/>
                <w:lang w:val="de-CH"/>
              </w:rPr>
            </w:pPr>
          </w:p>
        </w:tc>
      </w:tr>
      <w:tr w:rsidR="00026B39" w:rsidRPr="00A42937" w14:paraId="0E02CDD4" w14:textId="77777777" w:rsidTr="00026B39">
        <w:tc>
          <w:tcPr>
            <w:tcW w:w="2689" w:type="dxa"/>
          </w:tcPr>
          <w:p w14:paraId="443FC9A0" w14:textId="77777777" w:rsidR="00026B39" w:rsidRPr="00A42937" w:rsidRDefault="00026B39" w:rsidP="00026B39">
            <w:pPr>
              <w:rPr>
                <w:rFonts w:cstheme="minorHAnsi"/>
              </w:rPr>
            </w:pPr>
            <w:r w:rsidRPr="00A42937">
              <w:rPr>
                <w:rFonts w:cstheme="minorHAnsi"/>
              </w:rPr>
              <w:t xml:space="preserve">Art. 6 </w:t>
            </w:r>
          </w:p>
          <w:p w14:paraId="5E26DB0F" w14:textId="77777777" w:rsidR="00026B39" w:rsidRPr="00A42937" w:rsidRDefault="00026B39" w:rsidP="00026B39">
            <w:pPr>
              <w:rPr>
                <w:rFonts w:cstheme="minorHAnsi"/>
              </w:rPr>
            </w:pPr>
            <w:r w:rsidRPr="00A42937">
              <w:rPr>
                <w:rFonts w:cstheme="minorHAnsi"/>
              </w:rPr>
              <w:t>Bildung in beruflicher Praxis im Betrieb und an vergleichbaren Lernorten;</w:t>
            </w:r>
          </w:p>
          <w:p w14:paraId="1AB6F01D" w14:textId="77777777" w:rsidR="00026B39" w:rsidRDefault="00026B39">
            <w:pPr>
              <w:rPr>
                <w:rFonts w:cstheme="minorHAnsi"/>
              </w:rPr>
            </w:pPr>
            <w:r w:rsidRPr="00A42937">
              <w:rPr>
                <w:rFonts w:cstheme="minorHAnsi"/>
              </w:rPr>
              <w:t>Abs. 3 schulisch organisierte Grundbildung</w:t>
            </w:r>
          </w:p>
          <w:p w14:paraId="3CB16B21" w14:textId="1FF1CFA0" w:rsidR="001335F1" w:rsidRPr="00A42937" w:rsidRDefault="001335F1">
            <w:pPr>
              <w:rPr>
                <w:rFonts w:cstheme="minorHAnsi"/>
              </w:rPr>
            </w:pPr>
          </w:p>
        </w:tc>
        <w:tc>
          <w:tcPr>
            <w:tcW w:w="6939" w:type="dxa"/>
          </w:tcPr>
          <w:p w14:paraId="7D67B11E" w14:textId="7A7C5047" w:rsidR="00026B39" w:rsidRPr="00A42937" w:rsidRDefault="00026B39">
            <w:pPr>
              <w:rPr>
                <w:rFonts w:cstheme="minorHAnsi"/>
              </w:rPr>
            </w:pPr>
            <w:r w:rsidRPr="00A42937">
              <w:rPr>
                <w:rFonts w:cstheme="minorHAnsi"/>
                <w:b/>
                <w:bCs/>
              </w:rPr>
              <w:t>Antrag: Die Grundbildung muss betrieblich organisiert werden. Die Möglichkeit von rein schulisch organisierten Grundbildungen darf nicht möglich sein.</w:t>
            </w:r>
            <w:r w:rsidRPr="00A42937">
              <w:rPr>
                <w:rFonts w:cstheme="minorHAnsi"/>
              </w:rPr>
              <w:t xml:space="preserve"> </w:t>
            </w:r>
          </w:p>
        </w:tc>
      </w:tr>
      <w:tr w:rsidR="00026B39" w:rsidRPr="00A42937" w14:paraId="6585908D" w14:textId="77777777" w:rsidTr="00026B39">
        <w:tc>
          <w:tcPr>
            <w:tcW w:w="2689" w:type="dxa"/>
          </w:tcPr>
          <w:p w14:paraId="512AE996" w14:textId="77777777" w:rsidR="00026B39" w:rsidRPr="00A42937" w:rsidRDefault="00026B39">
            <w:pPr>
              <w:rPr>
                <w:rFonts w:cstheme="minorHAnsi"/>
              </w:rPr>
            </w:pPr>
            <w:r w:rsidRPr="00A42937">
              <w:rPr>
                <w:rFonts w:cstheme="minorHAnsi"/>
              </w:rPr>
              <w:t>Art. 8</w:t>
            </w:r>
          </w:p>
          <w:p w14:paraId="7BB80C02" w14:textId="77777777" w:rsidR="00026B39" w:rsidRPr="00A42937" w:rsidRDefault="00026B39">
            <w:pPr>
              <w:rPr>
                <w:rFonts w:cstheme="minorHAnsi"/>
              </w:rPr>
            </w:pPr>
            <w:r w:rsidRPr="00A42937">
              <w:rPr>
                <w:rFonts w:cstheme="minorHAnsi"/>
              </w:rPr>
              <w:t>überbetriebliche Kurse</w:t>
            </w:r>
          </w:p>
          <w:p w14:paraId="1C9EF04C" w14:textId="37D91BA5" w:rsidR="00026B39" w:rsidRPr="00A42937" w:rsidRDefault="00026B39">
            <w:pPr>
              <w:rPr>
                <w:rFonts w:cstheme="minorHAnsi"/>
              </w:rPr>
            </w:pPr>
            <w:r w:rsidRPr="00A42937">
              <w:rPr>
                <w:rFonts w:cstheme="minorHAnsi"/>
              </w:rPr>
              <w:t>Abs. 2 Anzahl Tage und Kurse</w:t>
            </w:r>
          </w:p>
        </w:tc>
        <w:tc>
          <w:tcPr>
            <w:tcW w:w="6939" w:type="dxa"/>
          </w:tcPr>
          <w:p w14:paraId="7BD6494E" w14:textId="199425D3"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Wir bitten um Klärung: Was bedeutet die vorgesehene Regelung mit 7 Kursen zu je 5 Tagen, wobei jeder Kurs einem Modul entspricht</w:t>
            </w:r>
            <w:r w:rsidR="008343B5">
              <w:rPr>
                <w:rFonts w:asciiTheme="minorHAnsi" w:hAnsiTheme="minorHAnsi" w:cstheme="minorHAnsi"/>
                <w:sz w:val="22"/>
                <w:szCs w:val="22"/>
                <w:lang w:val="de-CH"/>
              </w:rPr>
              <w:t>.</w:t>
            </w:r>
          </w:p>
          <w:p w14:paraId="1E0D98EA" w14:textId="1DE57B91"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Bedeutet dies pro Semester ein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 von 5 Tagen in den ersten 3 Lehrjahren sowie im 1. Semester des 4. Lehrjahres? (im letzten Semester dürfen keine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 stattfinden)</w:t>
            </w:r>
          </w:p>
          <w:p w14:paraId="18754284" w14:textId="77777777" w:rsidR="00026B39" w:rsidRPr="00A42937" w:rsidRDefault="00026B39">
            <w:pPr>
              <w:rPr>
                <w:rFonts w:cstheme="minorHAnsi"/>
              </w:rPr>
            </w:pPr>
          </w:p>
        </w:tc>
      </w:tr>
      <w:tr w:rsidR="00026B39" w:rsidRPr="00A42937" w14:paraId="3119E027" w14:textId="77777777" w:rsidTr="00026B39">
        <w:tc>
          <w:tcPr>
            <w:tcW w:w="2689" w:type="dxa"/>
          </w:tcPr>
          <w:p w14:paraId="73B1FEC6" w14:textId="77777777" w:rsidR="00026B39" w:rsidRPr="00A42937" w:rsidRDefault="00026B39">
            <w:pPr>
              <w:rPr>
                <w:rFonts w:cstheme="minorHAnsi"/>
              </w:rPr>
            </w:pPr>
            <w:r w:rsidRPr="00A42937">
              <w:rPr>
                <w:rFonts w:cstheme="minorHAnsi"/>
              </w:rPr>
              <w:lastRenderedPageBreak/>
              <w:t>Art. 10</w:t>
            </w:r>
          </w:p>
          <w:p w14:paraId="405E931B" w14:textId="77777777" w:rsidR="00026B39" w:rsidRPr="00A42937" w:rsidRDefault="00026B39">
            <w:pPr>
              <w:rPr>
                <w:rFonts w:cstheme="minorHAnsi"/>
              </w:rPr>
            </w:pPr>
            <w:r w:rsidRPr="00A42937">
              <w:rPr>
                <w:rFonts w:cstheme="minorHAnsi"/>
              </w:rPr>
              <w:t>Fachliche Anforderungen an Berufsbildnerinnen und Berufsbildner</w:t>
            </w:r>
          </w:p>
          <w:p w14:paraId="78C233FF" w14:textId="77777777" w:rsidR="00026B39" w:rsidRPr="00A42937" w:rsidRDefault="00026B39">
            <w:pPr>
              <w:rPr>
                <w:rFonts w:cstheme="minorHAnsi"/>
              </w:rPr>
            </w:pPr>
          </w:p>
          <w:p w14:paraId="51744F4E" w14:textId="77777777" w:rsidR="00026B39" w:rsidRPr="00A42937" w:rsidRDefault="00026B39">
            <w:pPr>
              <w:rPr>
                <w:rFonts w:cstheme="minorHAnsi"/>
              </w:rPr>
            </w:pPr>
          </w:p>
          <w:p w14:paraId="59FC6615" w14:textId="77777777" w:rsidR="00026B39" w:rsidRPr="00A42937" w:rsidRDefault="00026B39">
            <w:pPr>
              <w:rPr>
                <w:rFonts w:cstheme="minorHAnsi"/>
              </w:rPr>
            </w:pPr>
          </w:p>
          <w:p w14:paraId="6756D0DE" w14:textId="77777777" w:rsidR="00026B39" w:rsidRPr="00A42937" w:rsidRDefault="00026B39">
            <w:pPr>
              <w:rPr>
                <w:rFonts w:cstheme="minorHAnsi"/>
              </w:rPr>
            </w:pPr>
          </w:p>
          <w:p w14:paraId="42A28E51" w14:textId="2ED7776C" w:rsidR="00026B39" w:rsidRPr="00A42937" w:rsidRDefault="00026B39">
            <w:pPr>
              <w:rPr>
                <w:rFonts w:cstheme="minorHAnsi"/>
              </w:rPr>
            </w:pPr>
          </w:p>
          <w:p w14:paraId="1B0D3996" w14:textId="5A457304" w:rsidR="00026B39" w:rsidRDefault="00026B39">
            <w:pPr>
              <w:rPr>
                <w:rFonts w:cstheme="minorHAnsi"/>
              </w:rPr>
            </w:pPr>
          </w:p>
          <w:p w14:paraId="355A36C6" w14:textId="60F406FF" w:rsidR="00A42937" w:rsidRDefault="00A42937">
            <w:pPr>
              <w:rPr>
                <w:rFonts w:cstheme="minorHAnsi"/>
              </w:rPr>
            </w:pPr>
          </w:p>
          <w:p w14:paraId="0CBD3FE7" w14:textId="77777777" w:rsidR="00A42937" w:rsidRPr="00A42937" w:rsidRDefault="00A42937">
            <w:pPr>
              <w:rPr>
                <w:rFonts w:cstheme="minorHAnsi"/>
              </w:rPr>
            </w:pPr>
          </w:p>
          <w:p w14:paraId="701C1EC5" w14:textId="77777777" w:rsidR="00026B39" w:rsidRPr="00A42937" w:rsidRDefault="00026B39">
            <w:pPr>
              <w:rPr>
                <w:rFonts w:cstheme="minorHAnsi"/>
              </w:rPr>
            </w:pPr>
          </w:p>
          <w:p w14:paraId="50075FD1" w14:textId="1B16D99E" w:rsidR="00026B39" w:rsidRPr="00A42937" w:rsidRDefault="00026B39">
            <w:pPr>
              <w:rPr>
                <w:rFonts w:cstheme="minorHAnsi"/>
              </w:rPr>
            </w:pPr>
            <w:r w:rsidRPr="00A42937">
              <w:rPr>
                <w:rFonts w:cstheme="minorHAnsi"/>
              </w:rPr>
              <w:t>Abs. b</w:t>
            </w:r>
          </w:p>
        </w:tc>
        <w:tc>
          <w:tcPr>
            <w:tcW w:w="6939" w:type="dxa"/>
          </w:tcPr>
          <w:p w14:paraId="54A56F8B" w14:textId="2B8159D1" w:rsidR="00026B39" w:rsidRPr="00A42937" w:rsidRDefault="00026B39" w:rsidP="00026B39">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 xml:space="preserve">Antrag: Ein Elektroinstallateur-Unternehmen muss Gebäudeinformatiker ausbilden können. </w:t>
            </w:r>
          </w:p>
          <w:p w14:paraId="3A43E588" w14:textId="662C0E27"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Mit dieser Formulierung wird praktisch die gesamte Elektroinstallationsbranche von dieser Grundbildung ferngehalten.</w:t>
            </w:r>
          </w:p>
          <w:p w14:paraId="69B50408" w14:textId="5F861CFD"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Es braucht eine neue Formulierung/Regelung, die den Elektroinstallateur ebenfalls berücksichtigt.</w:t>
            </w:r>
          </w:p>
          <w:p w14:paraId="67D343A8" w14:textId="56A4F57B"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(Verweis im </w:t>
            </w:r>
            <w:proofErr w:type="spellStart"/>
            <w:r w:rsidRPr="00A42937">
              <w:rPr>
                <w:rFonts w:asciiTheme="minorHAnsi" w:hAnsiTheme="minorHAnsi" w:cstheme="minorHAnsi"/>
                <w:sz w:val="22"/>
                <w:szCs w:val="22"/>
                <w:lang w:val="de-CH"/>
              </w:rPr>
              <w:t>BiPla</w:t>
            </w:r>
            <w:proofErr w:type="spellEnd"/>
            <w:r w:rsidRPr="00A42937">
              <w:rPr>
                <w:rFonts w:asciiTheme="minorHAnsi" w:hAnsiTheme="minorHAnsi" w:cstheme="minorHAnsi"/>
                <w:sz w:val="22"/>
                <w:szCs w:val="22"/>
                <w:lang w:val="de-CH"/>
              </w:rPr>
              <w:t xml:space="preserve"> auf Übersicht der Handlungskompetenzen; c Einrichten und Erweitern von Gebäudeautomationssystemen; c2 </w:t>
            </w:r>
            <w:r w:rsidR="00CF130E">
              <w:rPr>
                <w:rFonts w:asciiTheme="minorHAnsi" w:hAnsiTheme="minorHAnsi" w:cstheme="minorHAnsi"/>
                <w:sz w:val="22"/>
                <w:szCs w:val="22"/>
                <w:lang w:val="de-CH"/>
              </w:rPr>
              <w:t>b</w:t>
            </w:r>
            <w:r w:rsidRPr="00A42937">
              <w:rPr>
                <w:rFonts w:asciiTheme="minorHAnsi" w:hAnsiTheme="minorHAnsi" w:cstheme="minorHAnsi"/>
                <w:sz w:val="22"/>
                <w:szCs w:val="22"/>
                <w:lang w:val="de-CH"/>
              </w:rPr>
              <w:t>estehende Gebäudeautomationskomponenten bis 230V anschliessen, erweitern und prüfen untersteht der NIV, weshalb als Lehrbetrieb hier ein Unternehmen mit fachtechnischem Leiter zu sein hat)</w:t>
            </w:r>
          </w:p>
          <w:p w14:paraId="392C1E1A" w14:textId="77264AD8" w:rsidR="00026B39" w:rsidRDefault="00026B39" w:rsidP="00026B39">
            <w:pPr>
              <w:pStyle w:val="Kommentartext"/>
              <w:rPr>
                <w:rFonts w:asciiTheme="minorHAnsi" w:hAnsiTheme="minorHAnsi" w:cstheme="minorHAnsi"/>
                <w:sz w:val="22"/>
                <w:szCs w:val="22"/>
                <w:lang w:val="de-CH"/>
              </w:rPr>
            </w:pPr>
          </w:p>
          <w:p w14:paraId="13123729" w14:textId="77777777" w:rsidR="001335F1" w:rsidRPr="00A42937" w:rsidRDefault="001335F1" w:rsidP="00026B39">
            <w:pPr>
              <w:pStyle w:val="Kommentartext"/>
              <w:rPr>
                <w:rFonts w:asciiTheme="minorHAnsi" w:hAnsiTheme="minorHAnsi" w:cstheme="minorHAnsi"/>
                <w:sz w:val="22"/>
                <w:szCs w:val="22"/>
                <w:lang w:val="de-CH"/>
              </w:rPr>
            </w:pPr>
          </w:p>
          <w:p w14:paraId="203C789F" w14:textId="77777777" w:rsidR="00026B39" w:rsidRPr="00A42937" w:rsidRDefault="00026B39" w:rsidP="00026B39">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Antrag ergänzen: Elektroinstallateurin EFZ oder Elektroinstallateur EFZ …</w:t>
            </w:r>
          </w:p>
          <w:p w14:paraId="4076BF8D" w14:textId="2428EF6C"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Der Automatiker ist weniger nah an der Tätigkeit des Gebäudeinformatikers als der Elektroinstallateur und wird hier erwähnt. Die meisten heutigen Fachleuchte stammen ursprünglich aus dem Bereich der Grundbildung Elektroinstallateur.</w:t>
            </w:r>
          </w:p>
          <w:p w14:paraId="45F3B2A9" w14:textId="56A73619" w:rsidR="00026B39" w:rsidRPr="00A42937" w:rsidRDefault="00026B39" w:rsidP="00026B39">
            <w:pPr>
              <w:pStyle w:val="Kommentartext"/>
              <w:rPr>
                <w:rFonts w:asciiTheme="minorHAnsi" w:hAnsiTheme="minorHAnsi" w:cstheme="minorHAnsi"/>
                <w:sz w:val="22"/>
                <w:szCs w:val="22"/>
                <w:lang w:val="de-CH"/>
              </w:rPr>
            </w:pPr>
          </w:p>
        </w:tc>
      </w:tr>
      <w:tr w:rsidR="00026B39" w:rsidRPr="00A42937" w14:paraId="3AC297E7" w14:textId="77777777" w:rsidTr="00026B39">
        <w:tc>
          <w:tcPr>
            <w:tcW w:w="2689" w:type="dxa"/>
          </w:tcPr>
          <w:p w14:paraId="697D8088" w14:textId="77777777" w:rsidR="00026B39" w:rsidRPr="00A42937" w:rsidRDefault="00026B39">
            <w:pPr>
              <w:rPr>
                <w:rFonts w:cstheme="minorHAnsi"/>
              </w:rPr>
            </w:pPr>
            <w:r w:rsidRPr="00A42937">
              <w:rPr>
                <w:rFonts w:cstheme="minorHAnsi"/>
              </w:rPr>
              <w:t>Art. 11</w:t>
            </w:r>
          </w:p>
          <w:p w14:paraId="26CBB648" w14:textId="77777777" w:rsidR="00026B39" w:rsidRPr="00A42937" w:rsidRDefault="00026B39">
            <w:pPr>
              <w:rPr>
                <w:rFonts w:cstheme="minorHAnsi"/>
              </w:rPr>
            </w:pPr>
            <w:r w:rsidRPr="00A42937">
              <w:rPr>
                <w:rFonts w:cstheme="minorHAnsi"/>
              </w:rPr>
              <w:t>Höchstzahl der Lernenden</w:t>
            </w:r>
          </w:p>
          <w:p w14:paraId="48B8FB14" w14:textId="11F3ECB2" w:rsidR="00026B39" w:rsidRPr="00A42937" w:rsidRDefault="00026B39">
            <w:pPr>
              <w:rPr>
                <w:rFonts w:cstheme="minorHAnsi"/>
              </w:rPr>
            </w:pPr>
            <w:r w:rsidRPr="00A42937">
              <w:rPr>
                <w:rFonts w:cstheme="minorHAnsi"/>
              </w:rPr>
              <w:t>Abs. 3 Fachkraft</w:t>
            </w:r>
          </w:p>
        </w:tc>
        <w:tc>
          <w:tcPr>
            <w:tcW w:w="6939" w:type="dxa"/>
          </w:tcPr>
          <w:p w14:paraId="7509A103" w14:textId="77777777" w:rsidR="00026B39" w:rsidRPr="00A42937" w:rsidRDefault="00026B39" w:rsidP="00026B39">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Antrag: Elektroinstallateure EFZ müssen als Fachkraft anrechenbar sein.</w:t>
            </w:r>
          </w:p>
          <w:p w14:paraId="0F52CD21" w14:textId="77777777"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Die vorliegende Regelung zur Anerkennung als Fachkraft zur Bestimmung der Anzahl Lernenden spricht von gleichwertiger Qualifikation wie das EFZ Gebäudeinformatiker. Was bedeutet gleichwertige Qualifikation? </w:t>
            </w:r>
          </w:p>
          <w:p w14:paraId="452AC940" w14:textId="1569B6FC"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Unternehmen arbeiten oftmals mit spezialisierten Personen, welche sich aus dem Bereich Elektroinstallateur in die Gebäudeinformatik weiterentwickelt haben.</w:t>
            </w:r>
          </w:p>
          <w:p w14:paraId="7B850FF8" w14:textId="77777777" w:rsidR="00026B39" w:rsidRPr="00A42937" w:rsidRDefault="00026B39">
            <w:pPr>
              <w:rPr>
                <w:rFonts w:cstheme="minorHAnsi"/>
              </w:rPr>
            </w:pPr>
          </w:p>
        </w:tc>
      </w:tr>
      <w:tr w:rsidR="00026B39" w:rsidRPr="00A42937" w14:paraId="3D518960" w14:textId="77777777" w:rsidTr="00026B39">
        <w:tc>
          <w:tcPr>
            <w:tcW w:w="2689" w:type="dxa"/>
          </w:tcPr>
          <w:p w14:paraId="76B0F176" w14:textId="3E88A978" w:rsidR="00026B39" w:rsidRPr="00A42937" w:rsidRDefault="00026B39">
            <w:pPr>
              <w:rPr>
                <w:rFonts w:cstheme="minorHAnsi"/>
              </w:rPr>
            </w:pPr>
            <w:r w:rsidRPr="00A42937">
              <w:rPr>
                <w:rFonts w:cstheme="minorHAnsi"/>
              </w:rPr>
              <w:t xml:space="preserve">Art. 17 </w:t>
            </w:r>
          </w:p>
          <w:p w14:paraId="21B396C6" w14:textId="77777777" w:rsidR="00026B39" w:rsidRPr="00A42937" w:rsidRDefault="00026B39">
            <w:pPr>
              <w:rPr>
                <w:rFonts w:cstheme="minorHAnsi"/>
              </w:rPr>
            </w:pPr>
            <w:r w:rsidRPr="00A42937">
              <w:rPr>
                <w:rFonts w:cstheme="minorHAnsi"/>
              </w:rPr>
              <w:t>Zulassung (zum QV)</w:t>
            </w:r>
          </w:p>
          <w:p w14:paraId="6923E2C6" w14:textId="77777777" w:rsidR="00026B39" w:rsidRPr="00A42937" w:rsidRDefault="00026B39">
            <w:pPr>
              <w:rPr>
                <w:rFonts w:cstheme="minorHAnsi"/>
              </w:rPr>
            </w:pPr>
            <w:r w:rsidRPr="00A42937">
              <w:rPr>
                <w:rFonts w:cstheme="minorHAnsi"/>
              </w:rPr>
              <w:t>Abs. b. Absolvierung der Grundbildung in einer vom Kanton anerkannten Bildungsinstitution</w:t>
            </w:r>
          </w:p>
          <w:p w14:paraId="564A47AB" w14:textId="08F9905D" w:rsidR="00026B39" w:rsidRPr="00A42937" w:rsidRDefault="00026B39">
            <w:pPr>
              <w:rPr>
                <w:rFonts w:cstheme="minorHAnsi"/>
              </w:rPr>
            </w:pPr>
          </w:p>
        </w:tc>
        <w:tc>
          <w:tcPr>
            <w:tcW w:w="6939" w:type="dxa"/>
          </w:tcPr>
          <w:p w14:paraId="0A498E75" w14:textId="77777777" w:rsidR="00026B39" w:rsidRPr="00A42937" w:rsidRDefault="00026B39" w:rsidP="00026B39">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Antrag: Es darf keine rein schulische Grundbildung zugelassen werden.</w:t>
            </w:r>
          </w:p>
          <w:p w14:paraId="42EACE02" w14:textId="77777777" w:rsidR="00026B39" w:rsidRPr="00A42937" w:rsidRDefault="00026B39" w:rsidP="00026B39">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(analog Antrag Art. 6 Abs. 3)</w:t>
            </w:r>
          </w:p>
          <w:p w14:paraId="7AAC4149" w14:textId="77777777" w:rsidR="00026B39" w:rsidRPr="00A42937" w:rsidRDefault="00026B39">
            <w:pPr>
              <w:rPr>
                <w:rFonts w:cstheme="minorHAnsi"/>
              </w:rPr>
            </w:pPr>
          </w:p>
        </w:tc>
      </w:tr>
      <w:tr w:rsidR="00026B39" w:rsidRPr="00A42937" w14:paraId="57D106AA" w14:textId="77777777" w:rsidTr="00026B39">
        <w:tc>
          <w:tcPr>
            <w:tcW w:w="2689" w:type="dxa"/>
          </w:tcPr>
          <w:p w14:paraId="552837FD" w14:textId="56B0E09C" w:rsidR="00026B39" w:rsidRPr="00A42937" w:rsidRDefault="00F125F5">
            <w:pPr>
              <w:rPr>
                <w:rFonts w:cstheme="minorHAnsi"/>
              </w:rPr>
            </w:pPr>
            <w:r w:rsidRPr="00A42937">
              <w:rPr>
                <w:rFonts w:cstheme="minorHAnsi"/>
              </w:rPr>
              <w:t>Art. 19</w:t>
            </w:r>
          </w:p>
          <w:p w14:paraId="1837B67B" w14:textId="77777777" w:rsidR="00F125F5" w:rsidRPr="00A42937" w:rsidRDefault="00F125F5">
            <w:pPr>
              <w:rPr>
                <w:rFonts w:cstheme="minorHAnsi"/>
              </w:rPr>
            </w:pPr>
            <w:r w:rsidRPr="00A42937">
              <w:rPr>
                <w:rFonts w:cstheme="minorHAnsi"/>
              </w:rPr>
              <w:t>Umfang und Durchführung des QV mit Abschlussprüfung</w:t>
            </w:r>
          </w:p>
          <w:p w14:paraId="304DC7CF" w14:textId="77777777" w:rsidR="00F125F5" w:rsidRDefault="00F125F5">
            <w:pPr>
              <w:rPr>
                <w:rFonts w:cstheme="minorHAnsi"/>
              </w:rPr>
            </w:pPr>
            <w:r w:rsidRPr="00A42937">
              <w:rPr>
                <w:rFonts w:cstheme="minorHAnsi"/>
              </w:rPr>
              <w:t>Abs. a. praktische Arbeit IPA im Umfang von 70-90 Stunden</w:t>
            </w:r>
          </w:p>
          <w:p w14:paraId="7AD85A1D" w14:textId="3CDAC895" w:rsidR="001335F1" w:rsidRPr="00A42937" w:rsidRDefault="001335F1">
            <w:pPr>
              <w:rPr>
                <w:rFonts w:cstheme="minorHAnsi"/>
              </w:rPr>
            </w:pPr>
          </w:p>
        </w:tc>
        <w:tc>
          <w:tcPr>
            <w:tcW w:w="6939" w:type="dxa"/>
          </w:tcPr>
          <w:p w14:paraId="5D20949E" w14:textId="77777777" w:rsidR="00F125F5" w:rsidRPr="00A42937" w:rsidRDefault="00F125F5" w:rsidP="00F125F5">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 xml:space="preserve">Antrag: In einer Grundbildung muss das QV innerhalb einer Woche komplett </w:t>
            </w:r>
            <w:proofErr w:type="spellStart"/>
            <w:r w:rsidRPr="00A42937">
              <w:rPr>
                <w:rFonts w:asciiTheme="minorHAnsi" w:hAnsiTheme="minorHAnsi" w:cstheme="minorHAnsi"/>
                <w:b/>
                <w:bCs/>
                <w:sz w:val="22"/>
                <w:szCs w:val="22"/>
                <w:lang w:val="de-CH"/>
              </w:rPr>
              <w:t>absolvierbar</w:t>
            </w:r>
            <w:proofErr w:type="spellEnd"/>
            <w:r w:rsidRPr="00A42937">
              <w:rPr>
                <w:rFonts w:asciiTheme="minorHAnsi" w:hAnsiTheme="minorHAnsi" w:cstheme="minorHAnsi"/>
                <w:b/>
                <w:bCs/>
                <w:sz w:val="22"/>
                <w:szCs w:val="22"/>
                <w:lang w:val="de-CH"/>
              </w:rPr>
              <w:t xml:space="preserve"> sein (alle Fächer), somit kann für die IPA maximal 24h eingesetzt werden.</w:t>
            </w:r>
          </w:p>
          <w:p w14:paraId="55A47075" w14:textId="73D20063" w:rsidR="00F125F5" w:rsidRPr="00A42937" w:rsidRDefault="00F125F5" w:rsidP="00F125F5">
            <w:pPr>
              <w:pStyle w:val="Kommentartext"/>
              <w:rPr>
                <w:rFonts w:asciiTheme="minorHAnsi" w:hAnsiTheme="minorHAnsi" w:cstheme="minorHAnsi"/>
                <w:b/>
                <w:bCs/>
                <w:sz w:val="22"/>
                <w:szCs w:val="22"/>
                <w:lang w:val="de-CH"/>
              </w:rPr>
            </w:pPr>
            <w:r w:rsidRPr="00A42937">
              <w:rPr>
                <w:rFonts w:asciiTheme="minorHAnsi" w:hAnsiTheme="minorHAnsi" w:cstheme="minorHAnsi"/>
                <w:sz w:val="22"/>
                <w:szCs w:val="22"/>
                <w:lang w:val="de-CH"/>
              </w:rPr>
              <w:t>Mit der vorgesehenen Regelung von 70-90 Stunden stellt sich die Frage, ob der Beruf Gebäudeinformatiker/in EFZ noch eine Grundbildung ist. Wir verweisen hier erneut auf die Eingabe zu Art. 4, Handlungskompetenzen.</w:t>
            </w:r>
          </w:p>
          <w:p w14:paraId="59060A96" w14:textId="453ED376" w:rsidR="00026B39" w:rsidRPr="00A42937" w:rsidRDefault="00026B39" w:rsidP="00F125F5">
            <w:pPr>
              <w:pStyle w:val="Kommentartext"/>
              <w:rPr>
                <w:rFonts w:asciiTheme="minorHAnsi" w:hAnsiTheme="minorHAnsi" w:cstheme="minorHAnsi"/>
                <w:b/>
                <w:bCs/>
                <w:sz w:val="22"/>
                <w:szCs w:val="22"/>
                <w:lang w:val="de-CH"/>
              </w:rPr>
            </w:pPr>
          </w:p>
        </w:tc>
      </w:tr>
      <w:tr w:rsidR="00A42937" w:rsidRPr="00A42937" w14:paraId="506F1570" w14:textId="77777777" w:rsidTr="00026B39">
        <w:tc>
          <w:tcPr>
            <w:tcW w:w="2689" w:type="dxa"/>
          </w:tcPr>
          <w:p w14:paraId="7DE5566B" w14:textId="77777777" w:rsidR="00A42937" w:rsidRPr="00A42937" w:rsidRDefault="00A42937">
            <w:pPr>
              <w:rPr>
                <w:rFonts w:cstheme="minorHAnsi"/>
              </w:rPr>
            </w:pPr>
            <w:r w:rsidRPr="00A42937">
              <w:rPr>
                <w:rFonts w:cstheme="minorHAnsi"/>
              </w:rPr>
              <w:t>Art. 20</w:t>
            </w:r>
          </w:p>
          <w:p w14:paraId="5318DCF6" w14:textId="77777777" w:rsidR="00A42937" w:rsidRPr="00A42937" w:rsidRDefault="00A42937">
            <w:pPr>
              <w:rPr>
                <w:rFonts w:cstheme="minorHAnsi"/>
              </w:rPr>
            </w:pPr>
            <w:r w:rsidRPr="00A42937">
              <w:rPr>
                <w:rFonts w:cstheme="minorHAnsi"/>
              </w:rPr>
              <w:t>Bestehen, Notenberechnung, Notengewichtung</w:t>
            </w:r>
          </w:p>
          <w:p w14:paraId="3F4793BE" w14:textId="3EAC57D5" w:rsidR="00A42937" w:rsidRPr="00A42937" w:rsidRDefault="00A42937">
            <w:pPr>
              <w:rPr>
                <w:rFonts w:cstheme="minorHAnsi"/>
              </w:rPr>
            </w:pPr>
            <w:r w:rsidRPr="00A42937">
              <w:rPr>
                <w:rFonts w:cstheme="minorHAnsi"/>
              </w:rPr>
              <w:t xml:space="preserve">Abs. 4 Erfahrungsnote BFS und </w:t>
            </w:r>
            <w:proofErr w:type="spellStart"/>
            <w:r w:rsidRPr="00A42937">
              <w:rPr>
                <w:rFonts w:cstheme="minorHAnsi"/>
              </w:rPr>
              <w:t>üK</w:t>
            </w:r>
            <w:proofErr w:type="spellEnd"/>
          </w:p>
        </w:tc>
        <w:tc>
          <w:tcPr>
            <w:tcW w:w="6939" w:type="dxa"/>
          </w:tcPr>
          <w:p w14:paraId="28FD941D" w14:textId="77777777" w:rsidR="00A42937" w:rsidRPr="00A42937" w:rsidRDefault="00A42937" w:rsidP="00A42937">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 xml:space="preserve">Antrag: Der </w:t>
            </w:r>
            <w:proofErr w:type="spellStart"/>
            <w:r w:rsidRPr="00A42937">
              <w:rPr>
                <w:rFonts w:asciiTheme="minorHAnsi" w:hAnsiTheme="minorHAnsi" w:cstheme="minorHAnsi"/>
                <w:b/>
                <w:bCs/>
                <w:sz w:val="22"/>
                <w:szCs w:val="22"/>
                <w:lang w:val="de-CH"/>
              </w:rPr>
              <w:t>üK</w:t>
            </w:r>
            <w:proofErr w:type="spellEnd"/>
            <w:r w:rsidRPr="00A42937">
              <w:rPr>
                <w:rFonts w:asciiTheme="minorHAnsi" w:hAnsiTheme="minorHAnsi" w:cstheme="minorHAnsi"/>
                <w:b/>
                <w:bCs/>
                <w:sz w:val="22"/>
                <w:szCs w:val="22"/>
                <w:lang w:val="de-CH"/>
              </w:rPr>
              <w:t xml:space="preserve"> muss stärker gewichtet werden. Die Verteilung zwischen BFS und </w:t>
            </w:r>
            <w:proofErr w:type="spellStart"/>
            <w:r w:rsidRPr="00A42937">
              <w:rPr>
                <w:rFonts w:asciiTheme="minorHAnsi" w:hAnsiTheme="minorHAnsi" w:cstheme="minorHAnsi"/>
                <w:b/>
                <w:bCs/>
                <w:sz w:val="22"/>
                <w:szCs w:val="22"/>
                <w:lang w:val="de-CH"/>
              </w:rPr>
              <w:t>üK</w:t>
            </w:r>
            <w:proofErr w:type="spellEnd"/>
            <w:r w:rsidRPr="00A42937">
              <w:rPr>
                <w:rFonts w:asciiTheme="minorHAnsi" w:hAnsiTheme="minorHAnsi" w:cstheme="minorHAnsi"/>
                <w:b/>
                <w:bCs/>
                <w:sz w:val="22"/>
                <w:szCs w:val="22"/>
                <w:lang w:val="de-CH"/>
              </w:rPr>
              <w:t xml:space="preserve"> soll mit 50% je gewichtet werden. </w:t>
            </w:r>
          </w:p>
          <w:p w14:paraId="2327F75A" w14:textId="3CC97549" w:rsidR="00A42937" w:rsidRPr="00A42937" w:rsidRDefault="00A42937" w:rsidP="00A42937">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Der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 verbindet die theoretischen technischen Grundlagen und Inhalte mit der Praxis und ist entsprechend bedeutend für den Erfolg in der Anwendung. Mit der bestehenden Aufteilung von 80</w:t>
            </w:r>
            <w:r w:rsidR="00CF130E">
              <w:rPr>
                <w:rFonts w:asciiTheme="minorHAnsi" w:hAnsiTheme="minorHAnsi" w:cstheme="minorHAnsi"/>
                <w:sz w:val="22"/>
                <w:szCs w:val="22"/>
                <w:lang w:val="de-CH"/>
              </w:rPr>
              <w:t xml:space="preserve"> </w:t>
            </w:r>
            <w:r w:rsidRPr="00A42937">
              <w:rPr>
                <w:rFonts w:asciiTheme="minorHAnsi" w:hAnsiTheme="minorHAnsi" w:cstheme="minorHAnsi"/>
                <w:sz w:val="22"/>
                <w:szCs w:val="22"/>
                <w:lang w:val="de-CH"/>
              </w:rPr>
              <w:t xml:space="preserve">% BFS zu 20 %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 wird diesem Umstand zu wenig Rechnung getragen. Die Anzahl Lektionen der BFS</w:t>
            </w:r>
            <w:r w:rsidR="008343B5">
              <w:rPr>
                <w:rFonts w:asciiTheme="minorHAnsi" w:hAnsiTheme="minorHAnsi" w:cstheme="minorHAnsi"/>
                <w:sz w:val="22"/>
                <w:szCs w:val="22"/>
                <w:lang w:val="de-CH"/>
              </w:rPr>
              <w:t xml:space="preserve"> (eine Lektion entspricht 0.75h)</w:t>
            </w:r>
            <w:r w:rsidRPr="00A42937">
              <w:rPr>
                <w:rFonts w:asciiTheme="minorHAnsi" w:hAnsiTheme="minorHAnsi" w:cstheme="minorHAnsi"/>
                <w:sz w:val="22"/>
                <w:szCs w:val="22"/>
                <w:lang w:val="de-CH"/>
              </w:rPr>
              <w:t xml:space="preserve"> im Bereich Berufskenntnisse betragen (ohne Fachenglisch) 1'080, womit das jetzt definierte Verhältnis zum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 ebenfalls nicht stimmt</w:t>
            </w:r>
            <w:r w:rsidR="008343B5">
              <w:rPr>
                <w:rFonts w:asciiTheme="minorHAnsi" w:hAnsiTheme="minorHAnsi" w:cstheme="minorHAnsi"/>
                <w:sz w:val="22"/>
                <w:szCs w:val="22"/>
                <w:lang w:val="de-CH"/>
              </w:rPr>
              <w:t xml:space="preserve">. Der </w:t>
            </w:r>
            <w:proofErr w:type="spellStart"/>
            <w:r w:rsidR="008343B5">
              <w:rPr>
                <w:rFonts w:asciiTheme="minorHAnsi" w:hAnsiTheme="minorHAnsi" w:cstheme="minorHAnsi"/>
                <w:sz w:val="22"/>
                <w:szCs w:val="22"/>
                <w:lang w:val="de-CH"/>
              </w:rPr>
              <w:t>üK</w:t>
            </w:r>
            <w:proofErr w:type="spellEnd"/>
            <w:r w:rsidR="008343B5">
              <w:rPr>
                <w:rFonts w:asciiTheme="minorHAnsi" w:hAnsiTheme="minorHAnsi" w:cstheme="minorHAnsi"/>
                <w:sz w:val="22"/>
                <w:szCs w:val="22"/>
                <w:lang w:val="de-CH"/>
              </w:rPr>
              <w:t xml:space="preserve"> wird in ganzen Stunden gemessen (also 1.3 Lektionen/h)</w:t>
            </w:r>
            <w:r w:rsidRPr="00A42937">
              <w:rPr>
                <w:rFonts w:asciiTheme="minorHAnsi" w:hAnsiTheme="minorHAnsi" w:cstheme="minorHAnsi"/>
                <w:sz w:val="22"/>
                <w:szCs w:val="22"/>
                <w:lang w:val="de-CH"/>
              </w:rPr>
              <w:t>.</w:t>
            </w:r>
          </w:p>
          <w:p w14:paraId="37FBC2DB" w14:textId="77777777" w:rsidR="00A42937" w:rsidRPr="00A42937" w:rsidRDefault="00A42937" w:rsidP="00F125F5">
            <w:pPr>
              <w:pStyle w:val="Kommentartext"/>
              <w:rPr>
                <w:rFonts w:asciiTheme="minorHAnsi" w:hAnsiTheme="minorHAnsi" w:cstheme="minorHAnsi"/>
                <w:b/>
                <w:bCs/>
                <w:sz w:val="22"/>
                <w:szCs w:val="22"/>
                <w:lang w:val="de-CH"/>
              </w:rPr>
            </w:pPr>
          </w:p>
        </w:tc>
      </w:tr>
      <w:tr w:rsidR="00A42937" w:rsidRPr="00A42937" w14:paraId="467BAB7A" w14:textId="77777777" w:rsidTr="00026B39">
        <w:tc>
          <w:tcPr>
            <w:tcW w:w="2689" w:type="dxa"/>
          </w:tcPr>
          <w:p w14:paraId="3EA0E697" w14:textId="77777777" w:rsidR="00A42937" w:rsidRPr="00A42937" w:rsidRDefault="00A42937">
            <w:pPr>
              <w:rPr>
                <w:rFonts w:cstheme="minorHAnsi"/>
              </w:rPr>
            </w:pPr>
            <w:r w:rsidRPr="00A42937">
              <w:rPr>
                <w:rFonts w:cstheme="minorHAnsi"/>
              </w:rPr>
              <w:lastRenderedPageBreak/>
              <w:t>Art. 23</w:t>
            </w:r>
          </w:p>
          <w:p w14:paraId="007B375B" w14:textId="77777777" w:rsidR="00A42937" w:rsidRPr="00A42937" w:rsidRDefault="00A42937">
            <w:pPr>
              <w:rPr>
                <w:rFonts w:cstheme="minorHAnsi"/>
              </w:rPr>
            </w:pPr>
            <w:r w:rsidRPr="00A42937">
              <w:rPr>
                <w:rFonts w:cstheme="minorHAnsi"/>
              </w:rPr>
              <w:t>Schweiz. Kommission für Berufsentwicklung und Qualität</w:t>
            </w:r>
          </w:p>
          <w:p w14:paraId="1CC8727D" w14:textId="6CA05C9C" w:rsidR="00A42937" w:rsidRPr="00A42937" w:rsidRDefault="00A42937">
            <w:pPr>
              <w:rPr>
                <w:rFonts w:cstheme="minorHAnsi"/>
              </w:rPr>
            </w:pPr>
            <w:r w:rsidRPr="00A42937">
              <w:rPr>
                <w:rFonts w:cstheme="minorHAnsi"/>
              </w:rPr>
              <w:t>Abs. 1 Zusammenstellung</w:t>
            </w:r>
          </w:p>
        </w:tc>
        <w:tc>
          <w:tcPr>
            <w:tcW w:w="6939" w:type="dxa"/>
          </w:tcPr>
          <w:p w14:paraId="10428360" w14:textId="77777777" w:rsidR="00A42937" w:rsidRPr="00A42937" w:rsidRDefault="00A42937" w:rsidP="00A42937">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 xml:space="preserve">Antrag: 1-2 Vertreterinnen oder Vertreter von </w:t>
            </w:r>
            <w:proofErr w:type="spellStart"/>
            <w:r w:rsidRPr="00A42937">
              <w:rPr>
                <w:rFonts w:asciiTheme="minorHAnsi" w:hAnsiTheme="minorHAnsi" w:cstheme="minorHAnsi"/>
                <w:b/>
                <w:bCs/>
                <w:sz w:val="22"/>
                <w:szCs w:val="22"/>
                <w:lang w:val="de-CH"/>
              </w:rPr>
              <w:t>üK</w:t>
            </w:r>
            <w:proofErr w:type="spellEnd"/>
            <w:r w:rsidRPr="00A42937">
              <w:rPr>
                <w:rFonts w:asciiTheme="minorHAnsi" w:hAnsiTheme="minorHAnsi" w:cstheme="minorHAnsi"/>
                <w:b/>
                <w:bCs/>
                <w:sz w:val="22"/>
                <w:szCs w:val="22"/>
                <w:lang w:val="de-CH"/>
              </w:rPr>
              <w:t>-Anbietern</w:t>
            </w:r>
          </w:p>
          <w:p w14:paraId="62B6AF99" w14:textId="752CEDA5" w:rsidR="00A42937" w:rsidRPr="00A42937" w:rsidRDefault="00A42937" w:rsidP="00A42937">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Für die Qualitätsentwicklung und Organisation des Berufs sind auch die Erfahrungen aus dem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 wichtig. Analog der Ausführungen zum Art. 20 ist hier eine Gleichstellung mit den BFS anzustreben, weshalb die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-Anbieter ebenfalls 1-2 Vertreter/innen stellen müssen. </w:t>
            </w:r>
          </w:p>
          <w:p w14:paraId="50DCECF7" w14:textId="77777777" w:rsidR="00A42937" w:rsidRPr="00A42937" w:rsidRDefault="00A42937" w:rsidP="00A42937">
            <w:pPr>
              <w:pStyle w:val="Kommentartext"/>
              <w:rPr>
                <w:rFonts w:asciiTheme="minorHAnsi" w:hAnsiTheme="minorHAnsi" w:cstheme="minorHAnsi"/>
                <w:b/>
                <w:bCs/>
                <w:sz w:val="22"/>
                <w:szCs w:val="22"/>
                <w:lang w:val="de-CH"/>
              </w:rPr>
            </w:pPr>
          </w:p>
        </w:tc>
      </w:tr>
      <w:tr w:rsidR="00026B39" w:rsidRPr="00A42937" w14:paraId="69F4C657" w14:textId="77777777" w:rsidTr="00026B39">
        <w:tc>
          <w:tcPr>
            <w:tcW w:w="2689" w:type="dxa"/>
          </w:tcPr>
          <w:p w14:paraId="341E01A2" w14:textId="77777777" w:rsidR="00026B39" w:rsidRPr="00A42937" w:rsidRDefault="00A42937">
            <w:pPr>
              <w:rPr>
                <w:rFonts w:cstheme="minorHAnsi"/>
              </w:rPr>
            </w:pPr>
            <w:r w:rsidRPr="00A42937">
              <w:rPr>
                <w:rFonts w:cstheme="minorHAnsi"/>
              </w:rPr>
              <w:t>Art. 24</w:t>
            </w:r>
          </w:p>
          <w:p w14:paraId="7C100B74" w14:textId="4530305F" w:rsidR="00A42937" w:rsidRPr="00A42937" w:rsidRDefault="00A42937">
            <w:pPr>
              <w:rPr>
                <w:rFonts w:cstheme="minorHAnsi"/>
              </w:rPr>
            </w:pPr>
            <w:r w:rsidRPr="00A42937">
              <w:rPr>
                <w:rFonts w:cstheme="minorHAnsi"/>
              </w:rPr>
              <w:t>Trägerschaft und Organisation der überbetrieblichen Kurse</w:t>
            </w:r>
          </w:p>
        </w:tc>
        <w:tc>
          <w:tcPr>
            <w:tcW w:w="6939" w:type="dxa"/>
          </w:tcPr>
          <w:p w14:paraId="42E5AF71" w14:textId="77777777" w:rsidR="00A42937" w:rsidRPr="00A42937" w:rsidRDefault="00A42937" w:rsidP="00A42937">
            <w:pPr>
              <w:pStyle w:val="Kommentartext"/>
              <w:rPr>
                <w:rFonts w:asciiTheme="minorHAnsi" w:hAnsiTheme="minorHAnsi" w:cstheme="minorHAnsi"/>
                <w:b/>
                <w:bCs/>
                <w:sz w:val="22"/>
                <w:szCs w:val="22"/>
                <w:lang w:val="de-CH"/>
              </w:rPr>
            </w:pPr>
            <w:r w:rsidRPr="00A42937">
              <w:rPr>
                <w:rFonts w:asciiTheme="minorHAnsi" w:hAnsiTheme="minorHAnsi" w:cstheme="minorHAnsi"/>
                <w:b/>
                <w:bCs/>
                <w:sz w:val="22"/>
                <w:szCs w:val="22"/>
                <w:lang w:val="de-CH"/>
              </w:rPr>
              <w:t xml:space="preserve">Antrag: Träger für die </w:t>
            </w:r>
            <w:proofErr w:type="spellStart"/>
            <w:r w:rsidRPr="00A42937">
              <w:rPr>
                <w:rFonts w:asciiTheme="minorHAnsi" w:hAnsiTheme="minorHAnsi" w:cstheme="minorHAnsi"/>
                <w:b/>
                <w:bCs/>
                <w:sz w:val="22"/>
                <w:szCs w:val="22"/>
                <w:lang w:val="de-CH"/>
              </w:rPr>
              <w:t>üK</w:t>
            </w:r>
            <w:proofErr w:type="spellEnd"/>
            <w:r w:rsidRPr="00A42937">
              <w:rPr>
                <w:rFonts w:asciiTheme="minorHAnsi" w:hAnsiTheme="minorHAnsi" w:cstheme="minorHAnsi"/>
                <w:b/>
                <w:bCs/>
                <w:sz w:val="22"/>
                <w:szCs w:val="22"/>
                <w:lang w:val="de-CH"/>
              </w:rPr>
              <w:t xml:space="preserve"> müssen die Sektionen sein.</w:t>
            </w:r>
          </w:p>
          <w:p w14:paraId="00885C1E" w14:textId="77777777" w:rsidR="00A42937" w:rsidRPr="00A42937" w:rsidRDefault="00A42937" w:rsidP="00A42937">
            <w:pPr>
              <w:pStyle w:val="Kommentartext"/>
              <w:rPr>
                <w:rFonts w:asciiTheme="minorHAnsi" w:hAnsiTheme="minorHAnsi" w:cstheme="minorHAnsi"/>
                <w:sz w:val="22"/>
                <w:szCs w:val="22"/>
                <w:lang w:val="de-CH"/>
              </w:rPr>
            </w:pPr>
            <w:r w:rsidRPr="00A42937">
              <w:rPr>
                <w:rFonts w:asciiTheme="minorHAnsi" w:hAnsiTheme="minorHAnsi" w:cstheme="minorHAnsi"/>
                <w:sz w:val="22"/>
                <w:szCs w:val="22"/>
                <w:lang w:val="de-CH"/>
              </w:rPr>
              <w:t>Wir sehen keine Gründe dafür, die bestens bewährte und funktionierende Organisationsstruktur über die Sektionen und kantonalen Ämter zu ändern, denn</w:t>
            </w:r>
          </w:p>
          <w:p w14:paraId="0A42AB1E" w14:textId="77777777" w:rsidR="00A42937" w:rsidRPr="00A42937" w:rsidRDefault="00A42937" w:rsidP="00A42937">
            <w:pPr>
              <w:pStyle w:val="Kommentartext"/>
              <w:numPr>
                <w:ilvl w:val="0"/>
                <w:numId w:val="3"/>
              </w:numPr>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Die Sektionen sind näher an den Unternehmen/Mitgliedern und kennen deren Bedürfnisse. </w:t>
            </w:r>
          </w:p>
          <w:p w14:paraId="3AAB4490" w14:textId="7BC719C6" w:rsidR="00A42937" w:rsidRPr="00A42937" w:rsidRDefault="00A42937" w:rsidP="00A42937">
            <w:pPr>
              <w:pStyle w:val="Kommentartext"/>
              <w:numPr>
                <w:ilvl w:val="0"/>
                <w:numId w:val="3"/>
              </w:numPr>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Der Individualität kann nur mit einer </w:t>
            </w:r>
            <w:proofErr w:type="spellStart"/>
            <w:r w:rsidRPr="00A42937">
              <w:rPr>
                <w:rFonts w:asciiTheme="minorHAnsi" w:hAnsiTheme="minorHAnsi" w:cstheme="minorHAnsi"/>
                <w:sz w:val="22"/>
                <w:szCs w:val="22"/>
                <w:lang w:val="de-CH"/>
              </w:rPr>
              <w:t>sektionalen</w:t>
            </w:r>
            <w:proofErr w:type="spellEnd"/>
            <w:r w:rsidRPr="00A42937">
              <w:rPr>
                <w:rFonts w:asciiTheme="minorHAnsi" w:hAnsiTheme="minorHAnsi" w:cstheme="minorHAnsi"/>
                <w:sz w:val="22"/>
                <w:szCs w:val="22"/>
                <w:lang w:val="de-CH"/>
              </w:rPr>
              <w:t xml:space="preserve"> Organisation Rechnung getragen werden.</w:t>
            </w:r>
          </w:p>
          <w:p w14:paraId="57722329" w14:textId="2203B0DB" w:rsidR="00A42937" w:rsidRPr="00A42937" w:rsidRDefault="00A42937" w:rsidP="00A42937">
            <w:pPr>
              <w:pStyle w:val="Kommentartext"/>
              <w:numPr>
                <w:ilvl w:val="0"/>
                <w:numId w:val="3"/>
              </w:numPr>
              <w:rPr>
                <w:rFonts w:asciiTheme="minorHAnsi" w:hAnsiTheme="minorHAnsi" w:cstheme="minorHAnsi"/>
                <w:sz w:val="22"/>
                <w:szCs w:val="22"/>
                <w:lang w:val="de-CH"/>
              </w:rPr>
            </w:pPr>
            <w:r w:rsidRPr="00A42937">
              <w:rPr>
                <w:rFonts w:asciiTheme="minorHAnsi" w:hAnsiTheme="minorHAnsi" w:cstheme="minorHAnsi"/>
                <w:sz w:val="22"/>
                <w:szCs w:val="22"/>
                <w:lang w:val="de-CH"/>
              </w:rPr>
              <w:t>Die Berufsbildungsämter «funktionieren» kantonal sehr unterschiedlich.</w:t>
            </w:r>
          </w:p>
          <w:p w14:paraId="50BBD221" w14:textId="77777777" w:rsidR="00A42937" w:rsidRPr="00A42937" w:rsidRDefault="00A42937" w:rsidP="00A42937">
            <w:pPr>
              <w:pStyle w:val="Kommentartext"/>
              <w:numPr>
                <w:ilvl w:val="0"/>
                <w:numId w:val="3"/>
              </w:numPr>
              <w:rPr>
                <w:rFonts w:asciiTheme="minorHAnsi" w:hAnsiTheme="minorHAnsi" w:cstheme="minorHAnsi"/>
                <w:sz w:val="22"/>
                <w:szCs w:val="22"/>
                <w:lang w:val="de-CH"/>
              </w:rPr>
            </w:pPr>
            <w:r w:rsidRPr="00A42937">
              <w:rPr>
                <w:rFonts w:asciiTheme="minorHAnsi" w:hAnsiTheme="minorHAnsi" w:cstheme="minorHAnsi"/>
                <w:sz w:val="22"/>
                <w:szCs w:val="22"/>
                <w:lang w:val="de-CH"/>
              </w:rPr>
              <w:t>Das QV wird kantonal organisiert.</w:t>
            </w:r>
          </w:p>
          <w:p w14:paraId="53E4CE0B" w14:textId="77777777" w:rsidR="00A42937" w:rsidRPr="00A42937" w:rsidRDefault="00A42937" w:rsidP="00A42937">
            <w:pPr>
              <w:pStyle w:val="Kommentartext"/>
              <w:numPr>
                <w:ilvl w:val="0"/>
                <w:numId w:val="3"/>
              </w:numPr>
              <w:rPr>
                <w:rFonts w:asciiTheme="minorHAnsi" w:hAnsiTheme="minorHAnsi" w:cstheme="minorHAnsi"/>
                <w:sz w:val="22"/>
                <w:szCs w:val="22"/>
                <w:lang w:val="de-CH"/>
              </w:rPr>
            </w:pPr>
            <w:r w:rsidRPr="00A42937">
              <w:rPr>
                <w:rFonts w:asciiTheme="minorHAnsi" w:hAnsiTheme="minorHAnsi" w:cstheme="minorHAnsi"/>
                <w:sz w:val="22"/>
                <w:szCs w:val="22"/>
                <w:lang w:val="de-CH"/>
              </w:rPr>
              <w:t xml:space="preserve">Eine Koordination der einzelnen </w:t>
            </w:r>
            <w:proofErr w:type="spellStart"/>
            <w:r w:rsidRPr="00A42937">
              <w:rPr>
                <w:rFonts w:asciiTheme="minorHAnsi" w:hAnsiTheme="minorHAnsi" w:cstheme="minorHAnsi"/>
                <w:sz w:val="22"/>
                <w:szCs w:val="22"/>
                <w:lang w:val="de-CH"/>
              </w:rPr>
              <w:t>üK</w:t>
            </w:r>
            <w:proofErr w:type="spellEnd"/>
            <w:r w:rsidRPr="00A42937">
              <w:rPr>
                <w:rFonts w:asciiTheme="minorHAnsi" w:hAnsiTheme="minorHAnsi" w:cstheme="minorHAnsi"/>
                <w:sz w:val="22"/>
                <w:szCs w:val="22"/>
                <w:lang w:val="de-CH"/>
              </w:rPr>
              <w:t xml:space="preserve">-Träger z.B. für den Kursstoff, kann organisiert werden (besteht bereits heute z.B. bei Elektroplaner). </w:t>
            </w:r>
          </w:p>
          <w:p w14:paraId="0E944A58" w14:textId="77777777" w:rsidR="00026B39" w:rsidRPr="00A42937" w:rsidRDefault="00026B39">
            <w:pPr>
              <w:rPr>
                <w:rFonts w:cstheme="minorHAnsi"/>
              </w:rPr>
            </w:pPr>
          </w:p>
        </w:tc>
      </w:tr>
    </w:tbl>
    <w:p w14:paraId="5AF5D551" w14:textId="77777777" w:rsidR="00026B39" w:rsidRDefault="00026B39"/>
    <w:p w14:paraId="68D9691E" w14:textId="77777777" w:rsidR="001335F1" w:rsidRDefault="001335F1" w:rsidP="00E52527">
      <w:pPr>
        <w:rPr>
          <w:b/>
          <w:bCs/>
        </w:rPr>
      </w:pPr>
    </w:p>
    <w:p w14:paraId="68D30DBE" w14:textId="5870577E" w:rsidR="00E52527" w:rsidRPr="00E52527" w:rsidRDefault="00E52527" w:rsidP="001E6AEC">
      <w:pPr>
        <w:spacing w:after="60"/>
        <w:rPr>
          <w:b/>
          <w:bCs/>
        </w:rPr>
      </w:pPr>
      <w:r w:rsidRPr="00E52527">
        <w:rPr>
          <w:b/>
          <w:bCs/>
        </w:rPr>
        <w:t xml:space="preserve">Stellungnahme / Anträge </w:t>
      </w:r>
      <w:r>
        <w:rPr>
          <w:b/>
          <w:bCs/>
        </w:rPr>
        <w:t xml:space="preserve">zum </w:t>
      </w:r>
      <w:proofErr w:type="spellStart"/>
      <w:r>
        <w:rPr>
          <w:b/>
          <w:bCs/>
        </w:rPr>
        <w:t>BiPla</w:t>
      </w:r>
      <w:proofErr w:type="spellEnd"/>
      <w:r w:rsidRPr="00E52527">
        <w:rPr>
          <w:b/>
          <w:bCs/>
        </w:rPr>
        <w:t xml:space="preserve"> Gebäudeinformatiker/in EFZ:</w:t>
      </w:r>
    </w:p>
    <w:tbl>
      <w:tblPr>
        <w:tblStyle w:val="Tabellenraster"/>
        <w:tblW w:w="0" w:type="auto"/>
        <w:tblLook w:val="04A0" w:firstRow="1" w:lastRow="0" w:firstColumn="1" w:lastColumn="0" w:noHBand="0" w:noVBand="1"/>
      </w:tblPr>
      <w:tblGrid>
        <w:gridCol w:w="2689"/>
        <w:gridCol w:w="6939"/>
      </w:tblGrid>
      <w:tr w:rsidR="00E52527" w:rsidRPr="00093366" w14:paraId="2B4EDC82" w14:textId="77777777" w:rsidTr="00CB7CC9">
        <w:tc>
          <w:tcPr>
            <w:tcW w:w="2689" w:type="dxa"/>
          </w:tcPr>
          <w:p w14:paraId="2D84A91A" w14:textId="77777777" w:rsidR="00E52527" w:rsidRPr="00093366" w:rsidRDefault="00E52527" w:rsidP="00CB7CC9">
            <w:pPr>
              <w:rPr>
                <w:rFonts w:cstheme="minorHAnsi"/>
              </w:rPr>
            </w:pPr>
            <w:r w:rsidRPr="00093366">
              <w:rPr>
                <w:rFonts w:cstheme="minorHAnsi"/>
              </w:rPr>
              <w:t>Art. 2.2</w:t>
            </w:r>
          </w:p>
          <w:p w14:paraId="51B643B0" w14:textId="77777777" w:rsidR="00E52527" w:rsidRPr="00093366" w:rsidRDefault="00E52527" w:rsidP="00CB7CC9">
            <w:pPr>
              <w:rPr>
                <w:rFonts w:cstheme="minorHAnsi"/>
              </w:rPr>
            </w:pPr>
            <w:r w:rsidRPr="00093366">
              <w:rPr>
                <w:rFonts w:cstheme="minorHAnsi"/>
              </w:rPr>
              <w:t>Überblick der vier Dimensionen einer Handlungskompetenz</w:t>
            </w:r>
          </w:p>
          <w:p w14:paraId="717377DD" w14:textId="79EB44AB" w:rsidR="00E52527" w:rsidRPr="00093366" w:rsidRDefault="00E52527" w:rsidP="00CB7CC9">
            <w:pPr>
              <w:rPr>
                <w:rFonts w:cstheme="minorHAnsi"/>
              </w:rPr>
            </w:pPr>
          </w:p>
        </w:tc>
        <w:tc>
          <w:tcPr>
            <w:tcW w:w="6939" w:type="dxa"/>
          </w:tcPr>
          <w:p w14:paraId="2E8888F6" w14:textId="77777777" w:rsidR="00E52527" w:rsidRPr="00093366" w:rsidRDefault="00E52527" w:rsidP="00E52527">
            <w:pPr>
              <w:pStyle w:val="Kommentartext"/>
              <w:rPr>
                <w:rFonts w:asciiTheme="minorHAnsi" w:hAnsiTheme="minorHAnsi" w:cstheme="minorHAnsi"/>
                <w:sz w:val="22"/>
                <w:szCs w:val="22"/>
                <w:lang w:val="de-CH"/>
              </w:rPr>
            </w:pPr>
            <w:r w:rsidRPr="00093366">
              <w:rPr>
                <w:rFonts w:asciiTheme="minorHAnsi" w:hAnsiTheme="minorHAnsi" w:cstheme="minorHAnsi"/>
                <w:b/>
                <w:bCs/>
                <w:sz w:val="22"/>
                <w:szCs w:val="22"/>
                <w:lang w:val="de-CH"/>
              </w:rPr>
              <w:t>Antrag:</w:t>
            </w:r>
            <w:r w:rsidRPr="00093366">
              <w:rPr>
                <w:rFonts w:asciiTheme="minorHAnsi" w:hAnsiTheme="minorHAnsi" w:cstheme="minorHAnsi"/>
                <w:sz w:val="22"/>
                <w:szCs w:val="22"/>
                <w:lang w:val="de-CH"/>
              </w:rPr>
              <w:t xml:space="preserve"> </w:t>
            </w:r>
            <w:r w:rsidRPr="00093366">
              <w:rPr>
                <w:rFonts w:asciiTheme="minorHAnsi" w:hAnsiTheme="minorHAnsi" w:cstheme="minorHAnsi"/>
                <w:b/>
                <w:bCs/>
                <w:sz w:val="22"/>
                <w:szCs w:val="22"/>
                <w:lang w:val="de-CH"/>
              </w:rPr>
              <w:t>Die Anforderungen für eine berufliche Grundbildung sind zu hoch.</w:t>
            </w:r>
            <w:r w:rsidRPr="00093366">
              <w:rPr>
                <w:rFonts w:asciiTheme="minorHAnsi" w:hAnsiTheme="minorHAnsi" w:cstheme="minorHAnsi"/>
                <w:sz w:val="22"/>
                <w:szCs w:val="22"/>
                <w:lang w:val="de-CH"/>
              </w:rPr>
              <w:t xml:space="preserve"> </w:t>
            </w:r>
          </w:p>
          <w:p w14:paraId="56202C43" w14:textId="3F064C5A" w:rsidR="00E52527" w:rsidRPr="00093366" w:rsidRDefault="00E52527" w:rsidP="00E52527">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 xml:space="preserve">Wir beziehen uns auf unsere einleitenden Erläuterungen sowie die Ausführungen und Anträge zur </w:t>
            </w:r>
            <w:proofErr w:type="spellStart"/>
            <w:r w:rsidRPr="00093366">
              <w:rPr>
                <w:rFonts w:asciiTheme="minorHAnsi" w:hAnsiTheme="minorHAnsi" w:cstheme="minorHAnsi"/>
                <w:sz w:val="22"/>
                <w:szCs w:val="22"/>
                <w:lang w:val="de-CH"/>
              </w:rPr>
              <w:t>BiVo</w:t>
            </w:r>
            <w:proofErr w:type="spellEnd"/>
            <w:r w:rsidRPr="00093366">
              <w:rPr>
                <w:rFonts w:asciiTheme="minorHAnsi" w:hAnsiTheme="minorHAnsi" w:cstheme="minorHAnsi"/>
                <w:sz w:val="22"/>
                <w:szCs w:val="22"/>
                <w:lang w:val="de-CH"/>
              </w:rPr>
              <w:t>, insbesondere Art. 4 und 19.</w:t>
            </w:r>
          </w:p>
        </w:tc>
      </w:tr>
      <w:tr w:rsidR="00E52527" w:rsidRPr="00093366" w14:paraId="44B1B41C" w14:textId="77777777" w:rsidTr="00CB7CC9">
        <w:tc>
          <w:tcPr>
            <w:tcW w:w="2689" w:type="dxa"/>
          </w:tcPr>
          <w:p w14:paraId="6F065C24" w14:textId="77777777" w:rsidR="00E52527" w:rsidRPr="00093366" w:rsidRDefault="00E52527" w:rsidP="00CB7CC9">
            <w:pPr>
              <w:rPr>
                <w:rFonts w:cstheme="minorHAnsi"/>
              </w:rPr>
            </w:pPr>
            <w:r w:rsidRPr="00093366">
              <w:rPr>
                <w:rFonts w:cstheme="minorHAnsi"/>
              </w:rPr>
              <w:t>Art. 2.4</w:t>
            </w:r>
          </w:p>
          <w:p w14:paraId="141DE4AF" w14:textId="77777777" w:rsidR="00E52527" w:rsidRPr="00093366" w:rsidRDefault="00E52527" w:rsidP="00CB7CC9">
            <w:pPr>
              <w:rPr>
                <w:rFonts w:cstheme="minorHAnsi"/>
              </w:rPr>
            </w:pPr>
            <w:r w:rsidRPr="00093366">
              <w:rPr>
                <w:rFonts w:cstheme="minorHAnsi"/>
              </w:rPr>
              <w:t>Zusammenarbeit der Lernorte</w:t>
            </w:r>
          </w:p>
          <w:p w14:paraId="65F5D5DC" w14:textId="0FFDBBE4" w:rsidR="00E52527" w:rsidRPr="00093366" w:rsidRDefault="00E52527" w:rsidP="00CB7CC9">
            <w:pPr>
              <w:rPr>
                <w:rFonts w:cstheme="minorHAnsi"/>
              </w:rPr>
            </w:pPr>
          </w:p>
        </w:tc>
        <w:tc>
          <w:tcPr>
            <w:tcW w:w="6939" w:type="dxa"/>
          </w:tcPr>
          <w:p w14:paraId="7D36496F" w14:textId="77777777" w:rsidR="00E52527" w:rsidRPr="00093366" w:rsidRDefault="00E52527" w:rsidP="00E52527">
            <w:pPr>
              <w:rPr>
                <w:rFonts w:cstheme="minorHAnsi"/>
                <w:b/>
                <w:bCs/>
              </w:rPr>
            </w:pPr>
            <w:r w:rsidRPr="00093366">
              <w:rPr>
                <w:rFonts w:cstheme="minorHAnsi"/>
                <w:b/>
                <w:bCs/>
              </w:rPr>
              <w:t xml:space="preserve">Antrag: Die Grundbildung darf nur auf Stufe Betrieb sichergestellt werden und nicht über eine rein schulische Ausbildung. </w:t>
            </w:r>
          </w:p>
          <w:p w14:paraId="231A5814" w14:textId="3A54DE25" w:rsidR="00E52527" w:rsidRPr="00093366" w:rsidRDefault="00E52527" w:rsidP="00E52527">
            <w:pPr>
              <w:rPr>
                <w:rFonts w:cstheme="minorHAnsi"/>
              </w:rPr>
            </w:pPr>
            <w:r w:rsidRPr="00093366">
              <w:rPr>
                <w:rFonts w:cstheme="minorHAnsi"/>
              </w:rPr>
              <w:t xml:space="preserve">Vergleiche dazu auch Antrag in </w:t>
            </w:r>
            <w:proofErr w:type="spellStart"/>
            <w:r w:rsidRPr="00093366">
              <w:rPr>
                <w:rFonts w:cstheme="minorHAnsi"/>
              </w:rPr>
              <w:t>BiVo</w:t>
            </w:r>
            <w:proofErr w:type="spellEnd"/>
            <w:r w:rsidRPr="00093366">
              <w:rPr>
                <w:rFonts w:cstheme="minorHAnsi"/>
              </w:rPr>
              <w:t>. Art. 6 Abs. 3 sowie Art. 17</w:t>
            </w:r>
          </w:p>
        </w:tc>
      </w:tr>
      <w:tr w:rsidR="00E52527" w:rsidRPr="00093366" w14:paraId="6D723C99" w14:textId="77777777" w:rsidTr="00CB7CC9">
        <w:tc>
          <w:tcPr>
            <w:tcW w:w="2689" w:type="dxa"/>
          </w:tcPr>
          <w:p w14:paraId="4623A0A0" w14:textId="2D4129BF" w:rsidR="00E52527" w:rsidRPr="00093366" w:rsidRDefault="00E52527" w:rsidP="00CB7CC9">
            <w:pPr>
              <w:rPr>
                <w:rFonts w:cstheme="minorHAnsi"/>
              </w:rPr>
            </w:pPr>
            <w:r w:rsidRPr="00093366">
              <w:rPr>
                <w:rFonts w:cstheme="minorHAnsi"/>
              </w:rPr>
              <w:t xml:space="preserve">3.1 </w:t>
            </w:r>
          </w:p>
          <w:p w14:paraId="1207421F" w14:textId="03AD2D4B" w:rsidR="00E52527" w:rsidRPr="00093366" w:rsidRDefault="00E52527" w:rsidP="00CB7CC9">
            <w:pPr>
              <w:rPr>
                <w:rFonts w:cstheme="minorHAnsi"/>
              </w:rPr>
            </w:pPr>
            <w:r w:rsidRPr="00093366">
              <w:rPr>
                <w:rFonts w:cstheme="minorHAnsi"/>
              </w:rPr>
              <w:t>Berufsbild</w:t>
            </w:r>
          </w:p>
          <w:p w14:paraId="25AF3C29" w14:textId="3D2CDCF1" w:rsidR="001B63B8" w:rsidRPr="00093366" w:rsidRDefault="001B63B8" w:rsidP="00CB7CC9">
            <w:pPr>
              <w:rPr>
                <w:rFonts w:cstheme="minorHAnsi"/>
              </w:rPr>
            </w:pPr>
            <w:r w:rsidRPr="00093366">
              <w:rPr>
                <w:rFonts w:cstheme="minorHAnsi"/>
              </w:rPr>
              <w:t>Abs. 1</w:t>
            </w:r>
          </w:p>
          <w:p w14:paraId="7D24D4A0" w14:textId="3CC1FC12" w:rsidR="001B63B8" w:rsidRPr="00093366" w:rsidRDefault="001B63B8" w:rsidP="00CB7CC9">
            <w:pPr>
              <w:rPr>
                <w:rFonts w:cstheme="minorHAnsi"/>
              </w:rPr>
            </w:pPr>
          </w:p>
          <w:p w14:paraId="78F01C0C" w14:textId="77777777" w:rsidR="001B63B8" w:rsidRPr="00093366" w:rsidRDefault="001B63B8" w:rsidP="00CB7CC9">
            <w:pPr>
              <w:rPr>
                <w:rFonts w:cstheme="minorHAnsi"/>
              </w:rPr>
            </w:pPr>
          </w:p>
          <w:p w14:paraId="75EFDD89" w14:textId="7D4054CA" w:rsidR="001B63B8" w:rsidRPr="00093366" w:rsidRDefault="001B63B8" w:rsidP="00CB7CC9">
            <w:pPr>
              <w:rPr>
                <w:rFonts w:cstheme="minorHAnsi"/>
              </w:rPr>
            </w:pPr>
            <w:r w:rsidRPr="00093366">
              <w:rPr>
                <w:rFonts w:cstheme="minorHAnsi"/>
              </w:rPr>
              <w:t>Abs. 2</w:t>
            </w:r>
          </w:p>
          <w:p w14:paraId="2801BC79" w14:textId="65A847CB" w:rsidR="001B63B8" w:rsidRPr="00093366" w:rsidRDefault="001B63B8" w:rsidP="00CB7CC9">
            <w:pPr>
              <w:rPr>
                <w:rFonts w:cstheme="minorHAnsi"/>
              </w:rPr>
            </w:pPr>
          </w:p>
          <w:p w14:paraId="03D72EC9" w14:textId="712A880B" w:rsidR="001B63B8" w:rsidRPr="00093366" w:rsidRDefault="001B63B8" w:rsidP="00CB7CC9">
            <w:pPr>
              <w:rPr>
                <w:rFonts w:cstheme="minorHAnsi"/>
              </w:rPr>
            </w:pPr>
          </w:p>
          <w:p w14:paraId="76EC9753" w14:textId="3D4B6FA8" w:rsidR="00E52527" w:rsidRPr="00093366" w:rsidRDefault="00E52527" w:rsidP="001B63B8">
            <w:pPr>
              <w:rPr>
                <w:rFonts w:cstheme="minorHAnsi"/>
              </w:rPr>
            </w:pPr>
          </w:p>
        </w:tc>
        <w:tc>
          <w:tcPr>
            <w:tcW w:w="6939" w:type="dxa"/>
          </w:tcPr>
          <w:p w14:paraId="353999CA" w14:textId="77777777"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Antrag: Der Ausdruck GKM-Systeme ist zu erläutern.</w:t>
            </w:r>
          </w:p>
          <w:p w14:paraId="7DCDAA41" w14:textId="3AFD3E0F"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Es fehlt eine Beschreibung des GKM-Systems. Speziell in den Kompetenzen wird immer von GKM-Systemen gesprochen. Was ist damit effektiv gemeint?</w:t>
            </w:r>
          </w:p>
          <w:p w14:paraId="11199852" w14:textId="1DF52E26" w:rsidR="001B63B8" w:rsidRPr="00093366" w:rsidRDefault="001B63B8" w:rsidP="001B63B8">
            <w:pPr>
              <w:pStyle w:val="Kommentartext"/>
              <w:rPr>
                <w:rFonts w:asciiTheme="minorHAnsi" w:hAnsiTheme="minorHAnsi" w:cstheme="minorHAnsi"/>
                <w:sz w:val="22"/>
                <w:szCs w:val="22"/>
                <w:lang w:val="de-CH"/>
              </w:rPr>
            </w:pPr>
          </w:p>
          <w:p w14:paraId="72C33B28" w14:textId="7EEBB764"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 xml:space="preserve">Antrag: Anstelle «umfassende Kenntnisse» bilden «stufengerechte Kenntnisse» die Basis ihrer Kompetenz. </w:t>
            </w:r>
          </w:p>
          <w:p w14:paraId="61F82FA9" w14:textId="3069697C"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 xml:space="preserve">Wie weit gehen «umfassende Kenntnisse» in einer Grundbildung? Sind dies nicht eher stufengerechte Kenntnisse oder sogar Grundkenntnisse? Was müssen die Lernenden abliefern können? Vergleiche auch unsere Ausführungen in den einleitenden Erläuterungen sowie die Ausführungen und Anträge zur </w:t>
            </w:r>
            <w:proofErr w:type="spellStart"/>
            <w:r w:rsidRPr="00093366">
              <w:rPr>
                <w:rFonts w:asciiTheme="minorHAnsi" w:hAnsiTheme="minorHAnsi" w:cstheme="minorHAnsi"/>
                <w:sz w:val="22"/>
                <w:szCs w:val="22"/>
                <w:lang w:val="de-CH"/>
              </w:rPr>
              <w:t>BiVo</w:t>
            </w:r>
            <w:proofErr w:type="spellEnd"/>
            <w:r w:rsidRPr="00093366">
              <w:rPr>
                <w:rFonts w:asciiTheme="minorHAnsi" w:hAnsiTheme="minorHAnsi" w:cstheme="minorHAnsi"/>
                <w:sz w:val="22"/>
                <w:szCs w:val="22"/>
                <w:lang w:val="de-CH"/>
              </w:rPr>
              <w:t>, insbesondere Art. 4 und 19.</w:t>
            </w:r>
          </w:p>
          <w:p w14:paraId="6D764642" w14:textId="20FEBBC8" w:rsidR="001B63B8" w:rsidRPr="00093366" w:rsidRDefault="001B63B8" w:rsidP="001B63B8">
            <w:pPr>
              <w:pStyle w:val="Kommentartext"/>
              <w:rPr>
                <w:rFonts w:asciiTheme="minorHAnsi" w:hAnsiTheme="minorHAnsi" w:cstheme="minorHAnsi"/>
                <w:sz w:val="22"/>
                <w:szCs w:val="22"/>
                <w:lang w:val="de-CH"/>
              </w:rPr>
            </w:pPr>
          </w:p>
        </w:tc>
      </w:tr>
      <w:tr w:rsidR="001B63B8" w:rsidRPr="00093366" w14:paraId="772E1D8C" w14:textId="77777777" w:rsidTr="00CB7CC9">
        <w:tc>
          <w:tcPr>
            <w:tcW w:w="2689" w:type="dxa"/>
          </w:tcPr>
          <w:p w14:paraId="32C32209" w14:textId="77777777" w:rsidR="001B63B8" w:rsidRPr="00093366" w:rsidRDefault="001B63B8" w:rsidP="001B63B8">
            <w:pPr>
              <w:rPr>
                <w:rFonts w:cstheme="minorHAnsi"/>
              </w:rPr>
            </w:pPr>
            <w:r w:rsidRPr="00093366">
              <w:rPr>
                <w:rFonts w:cstheme="minorHAnsi"/>
              </w:rPr>
              <w:t xml:space="preserve">Art. 3.1 </w:t>
            </w:r>
          </w:p>
          <w:p w14:paraId="14B7D3B0" w14:textId="3A859C1F" w:rsidR="001B63B8" w:rsidRPr="00093366" w:rsidRDefault="001B63B8" w:rsidP="001B63B8">
            <w:pPr>
              <w:rPr>
                <w:rFonts w:cstheme="minorHAnsi"/>
              </w:rPr>
            </w:pPr>
            <w:r w:rsidRPr="00093366">
              <w:rPr>
                <w:rFonts w:cstheme="minorHAnsi"/>
              </w:rPr>
              <w:t xml:space="preserve">Arbeitsgebiet Abs. 3 (Ausserdem sind sie verantwortlich für die Installation und Integration von gebäudetechnischen Sicherheitssystemen wie Brandmelde- </w:t>
            </w:r>
            <w:r w:rsidRPr="00093366">
              <w:rPr>
                <w:rFonts w:cstheme="minorHAnsi"/>
              </w:rPr>
              <w:lastRenderedPageBreak/>
              <w:t>und Einbruchsmeldeanlagen.</w:t>
            </w:r>
          </w:p>
          <w:p w14:paraId="6B40B697" w14:textId="77777777" w:rsidR="001B63B8" w:rsidRPr="00093366" w:rsidRDefault="001B63B8" w:rsidP="001B63B8">
            <w:pPr>
              <w:rPr>
                <w:rFonts w:cstheme="minorHAnsi"/>
              </w:rPr>
            </w:pPr>
          </w:p>
          <w:p w14:paraId="2CA9ACC7" w14:textId="77777777" w:rsidR="001B63B8" w:rsidRPr="00093366" w:rsidRDefault="001B63B8" w:rsidP="001B63B8">
            <w:pPr>
              <w:rPr>
                <w:rFonts w:cstheme="minorHAnsi"/>
              </w:rPr>
            </w:pPr>
            <w:r w:rsidRPr="00093366">
              <w:rPr>
                <w:rFonts w:cstheme="minorHAnsi"/>
              </w:rPr>
              <w:t>Arbeitsgebiet Abs. 5</w:t>
            </w:r>
          </w:p>
          <w:p w14:paraId="440E1411" w14:textId="77777777" w:rsidR="001B63B8" w:rsidRPr="00093366" w:rsidRDefault="001B63B8" w:rsidP="00CB7CC9">
            <w:pPr>
              <w:rPr>
                <w:rFonts w:cstheme="minorHAnsi"/>
              </w:rPr>
            </w:pPr>
          </w:p>
        </w:tc>
        <w:tc>
          <w:tcPr>
            <w:tcW w:w="6939" w:type="dxa"/>
          </w:tcPr>
          <w:p w14:paraId="36FF3E7E" w14:textId="77777777"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lastRenderedPageBreak/>
              <w:t>Antrag: Begriff «Installation» streichen.</w:t>
            </w:r>
          </w:p>
          <w:p w14:paraId="790D4714" w14:textId="77777777"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Die Installation gehört zum Fachbereich des Elektroinstallateurs, insbesondere 230V-Komponenten (das Wort «wie» öffnet dies in der vorliegenden Formulierung), da die NIV eingehalten werden muss. Hier wird die NIV gefährdet…</w:t>
            </w:r>
          </w:p>
          <w:p w14:paraId="0D6CCC45" w14:textId="77777777" w:rsidR="001B63B8" w:rsidRPr="00093366" w:rsidRDefault="001B63B8" w:rsidP="001B63B8">
            <w:pPr>
              <w:rPr>
                <w:rFonts w:cstheme="minorHAnsi"/>
              </w:rPr>
            </w:pPr>
          </w:p>
          <w:p w14:paraId="21E52C3D" w14:textId="5A463CCC" w:rsidR="001B63B8" w:rsidRDefault="001B63B8" w:rsidP="001B63B8">
            <w:pPr>
              <w:rPr>
                <w:rFonts w:cstheme="minorHAnsi"/>
              </w:rPr>
            </w:pPr>
          </w:p>
          <w:p w14:paraId="539741B0" w14:textId="77777777" w:rsidR="00093366" w:rsidRPr="00093366" w:rsidRDefault="00093366" w:rsidP="001B63B8">
            <w:pPr>
              <w:rPr>
                <w:rFonts w:cstheme="minorHAnsi"/>
              </w:rPr>
            </w:pPr>
          </w:p>
          <w:p w14:paraId="6FDEEA56" w14:textId="77777777" w:rsidR="001B63B8" w:rsidRPr="00093366" w:rsidRDefault="001B63B8" w:rsidP="001B63B8">
            <w:pPr>
              <w:rPr>
                <w:rFonts w:cstheme="minorHAnsi"/>
              </w:rPr>
            </w:pPr>
          </w:p>
          <w:p w14:paraId="023117C4" w14:textId="77777777" w:rsidR="001B63B8" w:rsidRPr="00093366" w:rsidRDefault="001B63B8" w:rsidP="001B63B8">
            <w:pPr>
              <w:rPr>
                <w:rFonts w:cstheme="minorHAnsi"/>
              </w:rPr>
            </w:pPr>
          </w:p>
          <w:p w14:paraId="48FC63CD" w14:textId="77777777"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 xml:space="preserve">Antrag: Einfache Projekte im Bereich von GKM-Systemen sind zu definieren, was darunter verstanden wird. </w:t>
            </w:r>
          </w:p>
          <w:p w14:paraId="158D8318" w14:textId="2E5591AC"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Was ist ein einfaches Projekt in einem GKM-System? Vergleiche Ausführungen zu Art. 3.1</w:t>
            </w:r>
            <w:r w:rsidR="008343B5">
              <w:rPr>
                <w:rFonts w:asciiTheme="minorHAnsi" w:hAnsiTheme="minorHAnsi" w:cstheme="minorHAnsi"/>
                <w:sz w:val="22"/>
                <w:szCs w:val="22"/>
                <w:lang w:val="de-CH"/>
              </w:rPr>
              <w:t>.</w:t>
            </w:r>
          </w:p>
          <w:p w14:paraId="6B24A07F" w14:textId="77777777" w:rsidR="001B63B8" w:rsidRPr="00093366" w:rsidRDefault="001B63B8" w:rsidP="001B63B8">
            <w:pPr>
              <w:pStyle w:val="Kommentartext"/>
              <w:rPr>
                <w:rFonts w:asciiTheme="minorHAnsi" w:hAnsiTheme="minorHAnsi" w:cstheme="minorHAnsi"/>
                <w:b/>
                <w:bCs/>
                <w:sz w:val="22"/>
                <w:szCs w:val="22"/>
                <w:lang w:val="de-CH"/>
              </w:rPr>
            </w:pPr>
          </w:p>
        </w:tc>
      </w:tr>
      <w:tr w:rsidR="00E52527" w:rsidRPr="00093366" w14:paraId="65504611" w14:textId="77777777" w:rsidTr="00CB7CC9">
        <w:tc>
          <w:tcPr>
            <w:tcW w:w="2689" w:type="dxa"/>
          </w:tcPr>
          <w:p w14:paraId="07DEB304" w14:textId="77777777" w:rsidR="001B63B8" w:rsidRPr="00093366" w:rsidRDefault="001B63B8" w:rsidP="00CB7CC9">
            <w:pPr>
              <w:rPr>
                <w:rFonts w:cstheme="minorHAnsi"/>
              </w:rPr>
            </w:pPr>
            <w:r w:rsidRPr="00093366">
              <w:rPr>
                <w:rFonts w:cstheme="minorHAnsi"/>
              </w:rPr>
              <w:lastRenderedPageBreak/>
              <w:t>Art. 3.1</w:t>
            </w:r>
          </w:p>
          <w:p w14:paraId="38814EF7" w14:textId="373859ED" w:rsidR="00E52527" w:rsidRPr="00093366" w:rsidRDefault="001B63B8" w:rsidP="00CB7CC9">
            <w:pPr>
              <w:rPr>
                <w:rFonts w:cstheme="minorHAnsi"/>
              </w:rPr>
            </w:pPr>
            <w:r w:rsidRPr="00093366">
              <w:rPr>
                <w:rFonts w:cstheme="minorHAnsi"/>
              </w:rPr>
              <w:t>Wichtigste Handlungskompetenzen</w:t>
            </w:r>
          </w:p>
        </w:tc>
        <w:tc>
          <w:tcPr>
            <w:tcW w:w="6939" w:type="dxa"/>
          </w:tcPr>
          <w:p w14:paraId="03C3CC02" w14:textId="77777777"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 xml:space="preserve">Antrag: Die Grundbildung ist zu hoch angesetzt. </w:t>
            </w:r>
          </w:p>
          <w:p w14:paraId="0976201A" w14:textId="77777777"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Wer kann und will diese Ausbildung anbieten?</w:t>
            </w:r>
          </w:p>
          <w:p w14:paraId="13BA41D7" w14:textId="6B7C9804"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Viele Punkte gehören zur Sachbearbeitungsfunktion und in die berufliche Weiterbildung. Ein Gebäudeinformatiker muss unter Anleitung eines Vorgesetzten und mit einem Pflichtenheft ein Projekt technisch ausführen können (und nicht z.B. eine Kostenkontrolle durchführen).</w:t>
            </w:r>
          </w:p>
          <w:p w14:paraId="25E0B329" w14:textId="319DC648"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 xml:space="preserve">Vergleiche Ausführungen in den einleitenden Erläuterungen sowie die Ausführungen und Anträge zur </w:t>
            </w:r>
            <w:proofErr w:type="spellStart"/>
            <w:r w:rsidRPr="00093366">
              <w:rPr>
                <w:rFonts w:asciiTheme="minorHAnsi" w:hAnsiTheme="minorHAnsi" w:cstheme="minorHAnsi"/>
                <w:sz w:val="22"/>
                <w:szCs w:val="22"/>
                <w:lang w:val="de-CH"/>
              </w:rPr>
              <w:t>BiVo</w:t>
            </w:r>
            <w:proofErr w:type="spellEnd"/>
            <w:r w:rsidRPr="00093366">
              <w:rPr>
                <w:rFonts w:asciiTheme="minorHAnsi" w:hAnsiTheme="minorHAnsi" w:cstheme="minorHAnsi"/>
                <w:sz w:val="22"/>
                <w:szCs w:val="22"/>
                <w:lang w:val="de-CH"/>
              </w:rPr>
              <w:t xml:space="preserve">, insbesondere Art. 4 und 19, sowie die verschiedenen Bemerkungen/Anträge zum </w:t>
            </w:r>
            <w:proofErr w:type="spellStart"/>
            <w:r w:rsidRPr="00093366">
              <w:rPr>
                <w:rFonts w:asciiTheme="minorHAnsi" w:hAnsiTheme="minorHAnsi" w:cstheme="minorHAnsi"/>
                <w:sz w:val="22"/>
                <w:szCs w:val="22"/>
                <w:lang w:val="de-CH"/>
              </w:rPr>
              <w:t>BiPla</w:t>
            </w:r>
            <w:proofErr w:type="spellEnd"/>
            <w:r w:rsidR="001335F1">
              <w:rPr>
                <w:rFonts w:asciiTheme="minorHAnsi" w:hAnsiTheme="minorHAnsi" w:cstheme="minorHAnsi"/>
                <w:sz w:val="22"/>
                <w:szCs w:val="22"/>
                <w:lang w:val="de-CH"/>
              </w:rPr>
              <w:t>.</w:t>
            </w:r>
          </w:p>
          <w:p w14:paraId="53BF19DE" w14:textId="77777777" w:rsidR="00E52527" w:rsidRPr="00093366" w:rsidRDefault="00E52527" w:rsidP="00E52527">
            <w:pPr>
              <w:rPr>
                <w:rFonts w:cstheme="minorHAnsi"/>
              </w:rPr>
            </w:pPr>
          </w:p>
        </w:tc>
      </w:tr>
      <w:tr w:rsidR="00E52527" w:rsidRPr="00093366" w14:paraId="73F74F2B" w14:textId="77777777" w:rsidTr="00CB7CC9">
        <w:tc>
          <w:tcPr>
            <w:tcW w:w="2689" w:type="dxa"/>
          </w:tcPr>
          <w:p w14:paraId="4DB7D690" w14:textId="22ECF320" w:rsidR="00E52527" w:rsidRPr="00093366" w:rsidRDefault="001B63B8" w:rsidP="00CB7CC9">
            <w:pPr>
              <w:rPr>
                <w:rFonts w:cstheme="minorHAnsi"/>
              </w:rPr>
            </w:pPr>
            <w:r w:rsidRPr="00093366">
              <w:rPr>
                <w:rFonts w:cstheme="minorHAnsi"/>
              </w:rPr>
              <w:t>Art. 3.1</w:t>
            </w:r>
          </w:p>
          <w:p w14:paraId="25B0360D" w14:textId="77777777" w:rsidR="001B63B8" w:rsidRPr="00093366" w:rsidRDefault="001B63B8" w:rsidP="00CB7CC9">
            <w:pPr>
              <w:rPr>
                <w:rFonts w:cstheme="minorHAnsi"/>
              </w:rPr>
            </w:pPr>
            <w:r w:rsidRPr="00093366">
              <w:rPr>
                <w:rFonts w:cstheme="minorHAnsi"/>
              </w:rPr>
              <w:t>Berufsausübung Abs. 1:</w:t>
            </w:r>
          </w:p>
          <w:p w14:paraId="23A825F9" w14:textId="77777777" w:rsidR="001B63B8" w:rsidRPr="00093366" w:rsidRDefault="001B63B8" w:rsidP="00CB7CC9">
            <w:pPr>
              <w:rPr>
                <w:rFonts w:cstheme="minorHAnsi"/>
              </w:rPr>
            </w:pPr>
            <w:r w:rsidRPr="00093366">
              <w:rPr>
                <w:rFonts w:cstheme="minorHAnsi"/>
              </w:rPr>
              <w:t>«Sie wenden dabei digitale Hilfsmittel und betriebsspezifische Projektmanagement-Anwendungen an.»</w:t>
            </w:r>
          </w:p>
          <w:p w14:paraId="2A87B3EE" w14:textId="77777777" w:rsidR="001B63B8" w:rsidRPr="00093366" w:rsidRDefault="001B63B8" w:rsidP="00CB7CC9">
            <w:pPr>
              <w:rPr>
                <w:rFonts w:cstheme="minorHAnsi"/>
              </w:rPr>
            </w:pPr>
          </w:p>
          <w:p w14:paraId="0D7CA1F1" w14:textId="7530A342" w:rsidR="001B63B8" w:rsidRPr="00093366" w:rsidRDefault="001B63B8" w:rsidP="00CB7CC9">
            <w:pPr>
              <w:rPr>
                <w:rFonts w:cstheme="minorHAnsi"/>
              </w:rPr>
            </w:pPr>
            <w:r w:rsidRPr="00093366">
              <w:rPr>
                <w:rFonts w:cstheme="minorHAnsi"/>
              </w:rPr>
              <w:t>Abs. 3-5</w:t>
            </w:r>
          </w:p>
        </w:tc>
        <w:tc>
          <w:tcPr>
            <w:tcW w:w="6939" w:type="dxa"/>
          </w:tcPr>
          <w:p w14:paraId="79095C70" w14:textId="12E93286"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Antrag: Der Begriff «betriebsspezifische Projektmanagement-Anwendungen» ist zu definieren, da unklar ist, was damit gemeint ist.</w:t>
            </w:r>
          </w:p>
          <w:p w14:paraId="5EFA79F2" w14:textId="77777777" w:rsidR="00E52527" w:rsidRPr="00093366" w:rsidRDefault="00E52527" w:rsidP="00E52527">
            <w:pPr>
              <w:rPr>
                <w:rFonts w:cstheme="minorHAnsi"/>
              </w:rPr>
            </w:pPr>
          </w:p>
          <w:p w14:paraId="0BB1E343" w14:textId="77777777" w:rsidR="001B63B8" w:rsidRPr="00093366" w:rsidRDefault="001B63B8" w:rsidP="00E52527">
            <w:pPr>
              <w:rPr>
                <w:rFonts w:cstheme="minorHAnsi"/>
              </w:rPr>
            </w:pPr>
          </w:p>
          <w:p w14:paraId="206F1646" w14:textId="60B6332D" w:rsidR="00093366" w:rsidRDefault="00093366" w:rsidP="00E52527">
            <w:pPr>
              <w:rPr>
                <w:rFonts w:cstheme="minorHAnsi"/>
              </w:rPr>
            </w:pPr>
          </w:p>
          <w:p w14:paraId="48D62495" w14:textId="77777777" w:rsidR="00093366" w:rsidRPr="00093366" w:rsidRDefault="00093366" w:rsidP="00E52527">
            <w:pPr>
              <w:rPr>
                <w:rFonts w:cstheme="minorHAnsi"/>
              </w:rPr>
            </w:pPr>
          </w:p>
          <w:p w14:paraId="247309B5" w14:textId="77777777" w:rsidR="001B63B8" w:rsidRPr="00093366" w:rsidRDefault="001B63B8" w:rsidP="00E52527">
            <w:pPr>
              <w:rPr>
                <w:rFonts w:cstheme="minorHAnsi"/>
              </w:rPr>
            </w:pPr>
          </w:p>
          <w:p w14:paraId="057C0AAE" w14:textId="77777777"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Antrag: Für eine Grundbildung sind diese Anforderungen zu hoch.</w:t>
            </w:r>
          </w:p>
          <w:p w14:paraId="394D5458" w14:textId="1369DC16"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 xml:space="preserve">Dies gehört in die berufliche Weiterbildung. Die Anforderungen müssen von einem guten Sek-A-Schüler erfüllt werden können. Man sollte sich entsprechend auf die technischen Grundlagen und Inhalte konzentrieren. Vergleiche Ausführungen in den einleitenden Erläuterungen sowie die Ausführungen und Anträge zur </w:t>
            </w:r>
            <w:proofErr w:type="spellStart"/>
            <w:r w:rsidRPr="00093366">
              <w:rPr>
                <w:rFonts w:asciiTheme="minorHAnsi" w:hAnsiTheme="minorHAnsi" w:cstheme="minorHAnsi"/>
                <w:sz w:val="22"/>
                <w:szCs w:val="22"/>
                <w:lang w:val="de-CH"/>
              </w:rPr>
              <w:t>BiVo</w:t>
            </w:r>
            <w:proofErr w:type="spellEnd"/>
            <w:r w:rsidRPr="00093366">
              <w:rPr>
                <w:rFonts w:asciiTheme="minorHAnsi" w:hAnsiTheme="minorHAnsi" w:cstheme="minorHAnsi"/>
                <w:sz w:val="22"/>
                <w:szCs w:val="22"/>
                <w:lang w:val="de-CH"/>
              </w:rPr>
              <w:t xml:space="preserve">, insbesondere Art. 4 und 19, sowie die verschiedenen Bemerkungen/Anträge zum </w:t>
            </w:r>
            <w:proofErr w:type="spellStart"/>
            <w:r w:rsidRPr="00093366">
              <w:rPr>
                <w:rFonts w:asciiTheme="minorHAnsi" w:hAnsiTheme="minorHAnsi" w:cstheme="minorHAnsi"/>
                <w:sz w:val="22"/>
                <w:szCs w:val="22"/>
                <w:lang w:val="de-CH"/>
              </w:rPr>
              <w:t>BiPla</w:t>
            </w:r>
            <w:proofErr w:type="spellEnd"/>
            <w:r w:rsidRPr="00093366">
              <w:rPr>
                <w:rFonts w:asciiTheme="minorHAnsi" w:hAnsiTheme="minorHAnsi" w:cstheme="minorHAnsi"/>
                <w:sz w:val="22"/>
                <w:szCs w:val="22"/>
                <w:lang w:val="de-CH"/>
              </w:rPr>
              <w:t>.</w:t>
            </w:r>
          </w:p>
          <w:p w14:paraId="015D50F4" w14:textId="6C4819F3" w:rsidR="001B63B8" w:rsidRPr="00093366" w:rsidRDefault="001B63B8" w:rsidP="00E52527">
            <w:pPr>
              <w:rPr>
                <w:rFonts w:cstheme="minorHAnsi"/>
              </w:rPr>
            </w:pPr>
          </w:p>
        </w:tc>
      </w:tr>
      <w:tr w:rsidR="00E52527" w:rsidRPr="00093366" w14:paraId="22EBF39F" w14:textId="77777777" w:rsidTr="00CB7CC9">
        <w:tc>
          <w:tcPr>
            <w:tcW w:w="2689" w:type="dxa"/>
          </w:tcPr>
          <w:p w14:paraId="670278C1" w14:textId="5BF82E3D" w:rsidR="00E52527" w:rsidRPr="00093366" w:rsidRDefault="001B63B8" w:rsidP="00CB7CC9">
            <w:pPr>
              <w:rPr>
                <w:rFonts w:cstheme="minorHAnsi"/>
              </w:rPr>
            </w:pPr>
            <w:r w:rsidRPr="00093366">
              <w:rPr>
                <w:rFonts w:cstheme="minorHAnsi"/>
              </w:rPr>
              <w:t>Art. 3.2</w:t>
            </w:r>
          </w:p>
          <w:p w14:paraId="66925EAF" w14:textId="77777777" w:rsidR="001B63B8" w:rsidRPr="00093366" w:rsidRDefault="001B63B8" w:rsidP="00CB7CC9">
            <w:pPr>
              <w:rPr>
                <w:rFonts w:cstheme="minorHAnsi"/>
              </w:rPr>
            </w:pPr>
            <w:r w:rsidRPr="00093366">
              <w:rPr>
                <w:rFonts w:cstheme="minorHAnsi"/>
              </w:rPr>
              <w:t>Übersicht der Handlungskompetenzen</w:t>
            </w:r>
          </w:p>
          <w:p w14:paraId="047FEEFD" w14:textId="38FF45D0" w:rsidR="001B63B8" w:rsidRPr="00093366" w:rsidRDefault="001B63B8" w:rsidP="00CB7CC9">
            <w:pPr>
              <w:rPr>
                <w:rFonts w:cstheme="minorHAnsi"/>
              </w:rPr>
            </w:pPr>
          </w:p>
          <w:p w14:paraId="5EE69032" w14:textId="5DA57F87" w:rsidR="001B63B8" w:rsidRPr="00093366" w:rsidRDefault="001B63B8" w:rsidP="00CB7CC9">
            <w:pPr>
              <w:rPr>
                <w:rFonts w:cstheme="minorHAnsi"/>
              </w:rPr>
            </w:pPr>
            <w:r w:rsidRPr="00093366">
              <w:rPr>
                <w:rFonts w:cstheme="minorHAnsi"/>
              </w:rPr>
              <w:t xml:space="preserve">C Einrichten und Erweitern von Gebäudeautomations-systemen; C2 </w:t>
            </w:r>
            <w:r w:rsidR="00CF130E">
              <w:rPr>
                <w:rFonts w:cstheme="minorHAnsi"/>
              </w:rPr>
              <w:t>b</w:t>
            </w:r>
            <w:r w:rsidRPr="00093366">
              <w:rPr>
                <w:rFonts w:eastAsia="Calibri" w:cstheme="minorHAnsi"/>
              </w:rPr>
              <w:t>estehende Gebäudeautomations</w:t>
            </w:r>
            <w:r w:rsidR="00093366">
              <w:rPr>
                <w:rFonts w:eastAsia="Calibri" w:cstheme="minorHAnsi"/>
              </w:rPr>
              <w:t>-</w:t>
            </w:r>
            <w:r w:rsidRPr="00093366">
              <w:rPr>
                <w:rFonts w:eastAsia="Calibri" w:cstheme="minorHAnsi"/>
              </w:rPr>
              <w:t>komponenten bis 230 Volt anschliessen, erweitern und prüfen</w:t>
            </w:r>
          </w:p>
        </w:tc>
        <w:tc>
          <w:tcPr>
            <w:tcW w:w="6939" w:type="dxa"/>
          </w:tcPr>
          <w:p w14:paraId="0D6DCEEC" w14:textId="607BE88F"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Antrag: Analog den vorherigen Ausführungen und Anträgen ist generell eine Reduktion und Konzentration auf die technischen Grundlagen und Inhalte vorzunehmen.</w:t>
            </w:r>
          </w:p>
          <w:p w14:paraId="63A5686E" w14:textId="77777777" w:rsidR="00E52527" w:rsidRPr="00093366" w:rsidRDefault="00E52527" w:rsidP="00E52527">
            <w:pPr>
              <w:rPr>
                <w:rFonts w:cstheme="minorHAnsi"/>
              </w:rPr>
            </w:pPr>
          </w:p>
          <w:p w14:paraId="2BB3B157" w14:textId="1A4CE188" w:rsidR="001B63B8" w:rsidRPr="00093366" w:rsidRDefault="001B63B8" w:rsidP="001B63B8">
            <w:pPr>
              <w:pStyle w:val="Kommentartext"/>
              <w:rPr>
                <w:rFonts w:asciiTheme="minorHAnsi" w:hAnsiTheme="minorHAnsi" w:cstheme="minorHAnsi"/>
                <w:sz w:val="22"/>
                <w:szCs w:val="22"/>
                <w:lang w:val="de-CH"/>
              </w:rPr>
            </w:pPr>
            <w:r w:rsidRPr="00093366">
              <w:rPr>
                <w:rFonts w:asciiTheme="minorHAnsi" w:hAnsiTheme="minorHAnsi" w:cstheme="minorHAnsi"/>
                <w:sz w:val="22"/>
                <w:szCs w:val="22"/>
                <w:lang w:val="de-CH"/>
              </w:rPr>
              <w:t xml:space="preserve">Diese Formulierung beinhaltet Tätigkeiten, welche unter die NIV fallen (Lehrbetrieb muss entsprechend über einen technischem Leiter nach NIV verfügen). Entsprechend kommen als Lehrbetriebe nur Firmen in Frage, die eine konzessionierte Tätigkeit ausüben dürfen. Vergleiche auch Ausführungen/Antrag zu Art. 10 </w:t>
            </w:r>
            <w:proofErr w:type="spellStart"/>
            <w:r w:rsidRPr="00093366">
              <w:rPr>
                <w:rFonts w:asciiTheme="minorHAnsi" w:hAnsiTheme="minorHAnsi" w:cstheme="minorHAnsi"/>
                <w:sz w:val="22"/>
                <w:szCs w:val="22"/>
                <w:lang w:val="de-CH"/>
              </w:rPr>
              <w:t>BiVo</w:t>
            </w:r>
            <w:proofErr w:type="spellEnd"/>
            <w:r w:rsidR="0063773E" w:rsidRPr="00093366">
              <w:rPr>
                <w:rFonts w:asciiTheme="minorHAnsi" w:hAnsiTheme="minorHAnsi" w:cstheme="minorHAnsi"/>
                <w:sz w:val="22"/>
                <w:szCs w:val="22"/>
                <w:lang w:val="de-CH"/>
              </w:rPr>
              <w:t xml:space="preserve"> sowie die im Anhang 2 des </w:t>
            </w:r>
            <w:proofErr w:type="spellStart"/>
            <w:r w:rsidR="0063773E" w:rsidRPr="00093366">
              <w:rPr>
                <w:rFonts w:asciiTheme="minorHAnsi" w:hAnsiTheme="minorHAnsi" w:cstheme="minorHAnsi"/>
                <w:sz w:val="22"/>
                <w:szCs w:val="22"/>
                <w:lang w:val="de-CH"/>
              </w:rPr>
              <w:t>BiPla</w:t>
            </w:r>
            <w:proofErr w:type="spellEnd"/>
            <w:r w:rsidR="0063773E" w:rsidRPr="00093366">
              <w:rPr>
                <w:rFonts w:asciiTheme="minorHAnsi" w:hAnsiTheme="minorHAnsi" w:cstheme="minorHAnsi"/>
                <w:sz w:val="22"/>
                <w:szCs w:val="22"/>
                <w:lang w:val="de-CH"/>
              </w:rPr>
              <w:t xml:space="preserve"> bei der Fachrichtung Gebäudeautomation enthaltenen Ausführungen zu AuS1.</w:t>
            </w:r>
          </w:p>
          <w:p w14:paraId="27A717A5" w14:textId="77777777" w:rsidR="001B63B8" w:rsidRPr="00093366" w:rsidRDefault="001B63B8" w:rsidP="001B63B8">
            <w:pPr>
              <w:pStyle w:val="Kommentartext"/>
              <w:rPr>
                <w:rFonts w:asciiTheme="minorHAnsi" w:hAnsiTheme="minorHAnsi" w:cstheme="minorHAnsi"/>
                <w:b/>
                <w:bCs/>
                <w:sz w:val="22"/>
                <w:szCs w:val="22"/>
                <w:lang w:val="de-CH"/>
              </w:rPr>
            </w:pPr>
            <w:r w:rsidRPr="00093366">
              <w:rPr>
                <w:rFonts w:asciiTheme="minorHAnsi" w:hAnsiTheme="minorHAnsi" w:cstheme="minorHAnsi"/>
                <w:b/>
                <w:bCs/>
                <w:sz w:val="22"/>
                <w:szCs w:val="22"/>
                <w:lang w:val="de-CH"/>
              </w:rPr>
              <w:t xml:space="preserve">Antrag: Die </w:t>
            </w:r>
            <w:proofErr w:type="spellStart"/>
            <w:r w:rsidRPr="00093366">
              <w:rPr>
                <w:rFonts w:asciiTheme="minorHAnsi" w:hAnsiTheme="minorHAnsi" w:cstheme="minorHAnsi"/>
                <w:b/>
                <w:bCs/>
                <w:sz w:val="22"/>
                <w:szCs w:val="22"/>
                <w:lang w:val="de-CH"/>
              </w:rPr>
              <w:t>BiVo</w:t>
            </w:r>
            <w:proofErr w:type="spellEnd"/>
            <w:r w:rsidRPr="00093366">
              <w:rPr>
                <w:rFonts w:asciiTheme="minorHAnsi" w:hAnsiTheme="minorHAnsi" w:cstheme="minorHAnsi"/>
                <w:b/>
                <w:bCs/>
                <w:sz w:val="22"/>
                <w:szCs w:val="22"/>
                <w:lang w:val="de-CH"/>
              </w:rPr>
              <w:t xml:space="preserve"> ist entsprechend anzupassen, damit die Lernenden solche Arbeiten im Lehrbetrieb ausführen dürfen, was wir als wichtig erachten.</w:t>
            </w:r>
          </w:p>
          <w:p w14:paraId="69AC9EEF" w14:textId="77777777" w:rsidR="001B63B8" w:rsidRPr="00093366" w:rsidRDefault="001B63B8" w:rsidP="001B63B8">
            <w:pPr>
              <w:rPr>
                <w:rFonts w:cstheme="minorHAnsi"/>
              </w:rPr>
            </w:pPr>
            <w:r w:rsidRPr="00093366">
              <w:rPr>
                <w:rFonts w:cstheme="minorHAnsi"/>
              </w:rPr>
              <w:t>Ergänzend zu erwähnen ist, dass nur immer von 230 Volt gesprochen wird. Es gibt auch grössere Server und Anlagen.</w:t>
            </w:r>
          </w:p>
          <w:p w14:paraId="4E36AF32" w14:textId="36014479" w:rsidR="001B63B8" w:rsidRPr="00093366" w:rsidRDefault="001B63B8" w:rsidP="001B63B8">
            <w:pPr>
              <w:rPr>
                <w:rFonts w:cstheme="minorHAnsi"/>
              </w:rPr>
            </w:pPr>
          </w:p>
        </w:tc>
      </w:tr>
    </w:tbl>
    <w:p w14:paraId="66D50441" w14:textId="35AB80CE" w:rsidR="00026B39" w:rsidRDefault="00026B39"/>
    <w:p w14:paraId="630700D6" w14:textId="50639348" w:rsidR="00093366" w:rsidRDefault="0081126D">
      <w:r>
        <w:t xml:space="preserve">Wir bitten Sie, um unsere Stellungnahme zu berücksichtigen und die gestellten Anträge </w:t>
      </w:r>
      <w:r w:rsidR="00093366">
        <w:t>aufzunehmen und sowohl die Bildungsverordnung wie auch den Bildungsplan zu überarbeiten.</w:t>
      </w:r>
    </w:p>
    <w:p w14:paraId="7AC3EE1D" w14:textId="77D232FC" w:rsidR="008C2888" w:rsidRDefault="008C2888"/>
    <w:p w14:paraId="55FAE7E7" w14:textId="77777777" w:rsidR="001E6AEC" w:rsidRDefault="001E6AEC"/>
    <w:p w14:paraId="2157B206" w14:textId="68C70CCA" w:rsidR="00093366" w:rsidRDefault="00093366">
      <w:r>
        <w:t>Freundliche Grüsse</w:t>
      </w:r>
    </w:p>
    <w:p w14:paraId="222E9506" w14:textId="02AB0723" w:rsidR="001E6AEC" w:rsidRDefault="0081126D" w:rsidP="00093366">
      <w:pPr>
        <w:tabs>
          <w:tab w:val="left" w:pos="2268"/>
        </w:tabs>
      </w:pPr>
      <w:r w:rsidRPr="0081126D">
        <w:rPr>
          <w:highlight w:val="yellow"/>
        </w:rPr>
        <w:t>Firma</w:t>
      </w:r>
    </w:p>
    <w:p w14:paraId="763D8607" w14:textId="314BC337" w:rsidR="0081126D" w:rsidRDefault="0081126D" w:rsidP="00093366">
      <w:pPr>
        <w:tabs>
          <w:tab w:val="left" w:pos="2268"/>
        </w:tabs>
      </w:pPr>
    </w:p>
    <w:p w14:paraId="428CEB86" w14:textId="333445A7" w:rsidR="0081126D" w:rsidRDefault="0081126D" w:rsidP="00093366">
      <w:pPr>
        <w:tabs>
          <w:tab w:val="left" w:pos="2268"/>
        </w:tabs>
      </w:pPr>
    </w:p>
    <w:p w14:paraId="7760E690" w14:textId="5B7A2CC7" w:rsidR="0081126D" w:rsidRDefault="0081126D" w:rsidP="00093366">
      <w:pPr>
        <w:tabs>
          <w:tab w:val="left" w:pos="2268"/>
        </w:tabs>
      </w:pPr>
    </w:p>
    <w:p w14:paraId="7914C1E7" w14:textId="2C5FC589" w:rsidR="0081126D" w:rsidRDefault="0081126D" w:rsidP="00093366">
      <w:pPr>
        <w:tabs>
          <w:tab w:val="left" w:pos="2268"/>
        </w:tabs>
      </w:pPr>
    </w:p>
    <w:p w14:paraId="7129F41B" w14:textId="3CD7A5BE" w:rsidR="0081126D" w:rsidRDefault="0081126D" w:rsidP="00093366">
      <w:pPr>
        <w:tabs>
          <w:tab w:val="left" w:pos="2268"/>
        </w:tabs>
      </w:pPr>
      <w:r w:rsidRPr="0081126D">
        <w:rPr>
          <w:highlight w:val="yellow"/>
        </w:rPr>
        <w:t>Unterschrift/en</w:t>
      </w:r>
    </w:p>
    <w:p w14:paraId="43DEA83D" w14:textId="4FE91057" w:rsidR="0081126D" w:rsidRDefault="0081126D" w:rsidP="00093366">
      <w:pPr>
        <w:tabs>
          <w:tab w:val="left" w:pos="2268"/>
        </w:tabs>
      </w:pPr>
    </w:p>
    <w:p w14:paraId="3B24ADD3" w14:textId="092D57CA" w:rsidR="0081126D" w:rsidRDefault="0081126D" w:rsidP="00093366">
      <w:pPr>
        <w:tabs>
          <w:tab w:val="left" w:pos="2268"/>
        </w:tabs>
      </w:pPr>
    </w:p>
    <w:p w14:paraId="2B8D9595" w14:textId="71B04D9E" w:rsidR="0081126D" w:rsidRDefault="0081126D" w:rsidP="00093366">
      <w:pPr>
        <w:tabs>
          <w:tab w:val="left" w:pos="2268"/>
        </w:tabs>
      </w:pPr>
    </w:p>
    <w:p w14:paraId="139E9419" w14:textId="77777777" w:rsidR="0081126D" w:rsidRPr="00093366" w:rsidRDefault="0081126D" w:rsidP="00093366">
      <w:pPr>
        <w:tabs>
          <w:tab w:val="left" w:pos="2268"/>
        </w:tabs>
      </w:pPr>
    </w:p>
    <w:p w14:paraId="6A7B8585" w14:textId="7D9572AF" w:rsidR="00093366" w:rsidRPr="00093366" w:rsidRDefault="00093366" w:rsidP="00093366">
      <w:pPr>
        <w:tabs>
          <w:tab w:val="left" w:pos="2268"/>
        </w:tabs>
      </w:pPr>
      <w:r w:rsidRPr="00093366">
        <w:rPr>
          <w:u w:val="single"/>
        </w:rPr>
        <w:t>Kopie zur Kenntnisnahme</w:t>
      </w:r>
      <w:r w:rsidRPr="00093366">
        <w:t>:</w:t>
      </w:r>
    </w:p>
    <w:p w14:paraId="695DA69F" w14:textId="748953E8" w:rsidR="00093366" w:rsidRPr="00093366" w:rsidRDefault="0081126D" w:rsidP="00093366">
      <w:pPr>
        <w:pStyle w:val="Listenabsatz"/>
        <w:numPr>
          <w:ilvl w:val="0"/>
          <w:numId w:val="4"/>
        </w:numPr>
        <w:tabs>
          <w:tab w:val="left" w:pos="2268"/>
        </w:tabs>
      </w:pPr>
      <w:r>
        <w:t xml:space="preserve">Zürcher Elektroverband (KZEI), </w:t>
      </w:r>
      <w:hyperlink r:id="rId7" w:history="1">
        <w:r w:rsidRPr="00907DB6">
          <w:rPr>
            <w:rStyle w:val="Hyperlink"/>
          </w:rPr>
          <w:t>info@kzei.ch</w:t>
        </w:r>
      </w:hyperlink>
      <w:r>
        <w:t xml:space="preserve"> </w:t>
      </w:r>
      <w:bookmarkStart w:id="0" w:name="_GoBack"/>
      <w:bookmarkEnd w:id="0"/>
    </w:p>
    <w:sectPr w:rsidR="00093366" w:rsidRPr="00093366" w:rsidSect="001E6AEC">
      <w:headerReference w:type="default" r:id="rId8"/>
      <w:pgSz w:w="11906" w:h="16838"/>
      <w:pgMar w:top="141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35140" w14:textId="77777777" w:rsidR="005A37A3" w:rsidRDefault="005A37A3" w:rsidP="005A37A3">
      <w:pPr>
        <w:spacing w:line="240" w:lineRule="auto"/>
      </w:pPr>
      <w:r>
        <w:separator/>
      </w:r>
    </w:p>
  </w:endnote>
  <w:endnote w:type="continuationSeparator" w:id="0">
    <w:p w14:paraId="3437CBB6" w14:textId="77777777" w:rsidR="005A37A3" w:rsidRDefault="005A37A3" w:rsidP="005A3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9E0A" w14:textId="77777777" w:rsidR="005A37A3" w:rsidRDefault="005A37A3" w:rsidP="005A37A3">
      <w:pPr>
        <w:spacing w:line="240" w:lineRule="auto"/>
      </w:pPr>
      <w:r>
        <w:separator/>
      </w:r>
    </w:p>
  </w:footnote>
  <w:footnote w:type="continuationSeparator" w:id="0">
    <w:p w14:paraId="3DD8E004" w14:textId="77777777" w:rsidR="005A37A3" w:rsidRDefault="005A37A3" w:rsidP="005A3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03741644"/>
      <w:docPartObj>
        <w:docPartGallery w:val="Page Numbers (Top of Page)"/>
        <w:docPartUnique/>
      </w:docPartObj>
    </w:sdtPr>
    <w:sdtEndPr/>
    <w:sdtContent>
      <w:p w14:paraId="73CE8A02" w14:textId="2FF85C00" w:rsidR="005A37A3" w:rsidRPr="005A37A3" w:rsidRDefault="005A37A3" w:rsidP="005A37A3">
        <w:pPr>
          <w:pStyle w:val="Kopfzeile"/>
          <w:tabs>
            <w:tab w:val="clear" w:pos="9072"/>
            <w:tab w:val="right" w:pos="9638"/>
          </w:tabs>
          <w:rPr>
            <w:sz w:val="18"/>
            <w:szCs w:val="18"/>
          </w:rPr>
        </w:pPr>
        <w:r w:rsidRPr="005A37A3">
          <w:rPr>
            <w:sz w:val="18"/>
            <w:szCs w:val="18"/>
          </w:rPr>
          <w:t>Anhörung neue Grundbildung «Gebäudeinformatiker/in EFZ»</w:t>
        </w:r>
        <w:r w:rsidR="0081126D">
          <w:rPr>
            <w:sz w:val="18"/>
            <w:szCs w:val="18"/>
          </w:rPr>
          <w:tab/>
        </w:r>
        <w:r w:rsidRPr="005A37A3">
          <w:rPr>
            <w:sz w:val="18"/>
            <w:szCs w:val="18"/>
          </w:rPr>
          <w:tab/>
          <w:t xml:space="preserve">Seite </w:t>
        </w:r>
        <w:r w:rsidRPr="005A37A3">
          <w:rPr>
            <w:sz w:val="18"/>
            <w:szCs w:val="18"/>
          </w:rPr>
          <w:fldChar w:fldCharType="begin"/>
        </w:r>
        <w:r w:rsidRPr="005A37A3">
          <w:rPr>
            <w:sz w:val="18"/>
            <w:szCs w:val="18"/>
          </w:rPr>
          <w:instrText>PAGE   \* MERGEFORMAT</w:instrText>
        </w:r>
        <w:r w:rsidRPr="005A37A3">
          <w:rPr>
            <w:sz w:val="18"/>
            <w:szCs w:val="18"/>
          </w:rPr>
          <w:fldChar w:fldCharType="separate"/>
        </w:r>
        <w:r w:rsidRPr="005A37A3">
          <w:rPr>
            <w:sz w:val="18"/>
            <w:szCs w:val="18"/>
            <w:lang w:val="de-DE"/>
          </w:rPr>
          <w:t>2</w:t>
        </w:r>
        <w:r w:rsidRPr="005A37A3">
          <w:rPr>
            <w:sz w:val="18"/>
            <w:szCs w:val="18"/>
          </w:rPr>
          <w:fldChar w:fldCharType="end"/>
        </w:r>
        <w:r w:rsidR="003B3F59">
          <w:rPr>
            <w:sz w:val="18"/>
            <w:szCs w:val="18"/>
          </w:rPr>
          <w:t xml:space="preserve"> von 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76D"/>
    <w:multiLevelType w:val="hybridMultilevel"/>
    <w:tmpl w:val="0AFE2B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B81AD5"/>
    <w:multiLevelType w:val="hybridMultilevel"/>
    <w:tmpl w:val="44807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3152DE"/>
    <w:multiLevelType w:val="hybridMultilevel"/>
    <w:tmpl w:val="BB0A16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B5C50B2"/>
    <w:multiLevelType w:val="hybridMultilevel"/>
    <w:tmpl w:val="E0745A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0C"/>
    <w:rsid w:val="00026B39"/>
    <w:rsid w:val="00067C87"/>
    <w:rsid w:val="00093366"/>
    <w:rsid w:val="001335F1"/>
    <w:rsid w:val="001B4688"/>
    <w:rsid w:val="001B63B8"/>
    <w:rsid w:val="001E6AEC"/>
    <w:rsid w:val="00294505"/>
    <w:rsid w:val="003468AF"/>
    <w:rsid w:val="00371580"/>
    <w:rsid w:val="003B3F59"/>
    <w:rsid w:val="0047710C"/>
    <w:rsid w:val="00534CA3"/>
    <w:rsid w:val="005A37A3"/>
    <w:rsid w:val="0063773E"/>
    <w:rsid w:val="0081126D"/>
    <w:rsid w:val="00833BFD"/>
    <w:rsid w:val="008343B5"/>
    <w:rsid w:val="008C2888"/>
    <w:rsid w:val="00A42937"/>
    <w:rsid w:val="00A74810"/>
    <w:rsid w:val="00B43B89"/>
    <w:rsid w:val="00BD0B2C"/>
    <w:rsid w:val="00CF130E"/>
    <w:rsid w:val="00D61A87"/>
    <w:rsid w:val="00E404F8"/>
    <w:rsid w:val="00E44D09"/>
    <w:rsid w:val="00E52527"/>
    <w:rsid w:val="00EE2632"/>
    <w:rsid w:val="00F12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E6B87B"/>
  <w15:chartTrackingRefBased/>
  <w15:docId w15:val="{69E8EDE8-39EB-4058-9CDC-DE28ACA8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04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4F8"/>
    <w:rPr>
      <w:rFonts w:ascii="Segoe UI" w:hAnsi="Segoe UI" w:cs="Segoe UI"/>
      <w:sz w:val="18"/>
      <w:szCs w:val="18"/>
    </w:rPr>
  </w:style>
  <w:style w:type="paragraph" w:styleId="Listenabsatz">
    <w:name w:val="List Paragraph"/>
    <w:basedOn w:val="Standard"/>
    <w:uiPriority w:val="34"/>
    <w:qFormat/>
    <w:rsid w:val="00E404F8"/>
    <w:pPr>
      <w:ind w:left="720"/>
      <w:contextualSpacing/>
    </w:pPr>
  </w:style>
  <w:style w:type="table" w:styleId="Tabellenraster">
    <w:name w:val="Table Grid"/>
    <w:basedOn w:val="NormaleTabelle"/>
    <w:uiPriority w:val="39"/>
    <w:rsid w:val="00026B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26B39"/>
    <w:pPr>
      <w:spacing w:line="240" w:lineRule="auto"/>
    </w:pPr>
    <w:rPr>
      <w:rFonts w:ascii="Times New Roman" w:eastAsia="PMingLiU" w:hAnsi="Times New Roman" w:cs="Times New Roman"/>
      <w:sz w:val="20"/>
      <w:szCs w:val="20"/>
      <w:lang w:val="en-US"/>
    </w:rPr>
  </w:style>
  <w:style w:type="character" w:customStyle="1" w:styleId="KommentartextZchn">
    <w:name w:val="Kommentartext Zchn"/>
    <w:basedOn w:val="Absatz-Standardschriftart"/>
    <w:link w:val="Kommentartext"/>
    <w:uiPriority w:val="99"/>
    <w:rsid w:val="00026B39"/>
    <w:rPr>
      <w:rFonts w:ascii="Times New Roman" w:eastAsia="PMingLiU"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F125F5"/>
    <w:rPr>
      <w:b/>
      <w:bCs/>
    </w:rPr>
  </w:style>
  <w:style w:type="character" w:customStyle="1" w:styleId="KommentarthemaZchn">
    <w:name w:val="Kommentarthema Zchn"/>
    <w:basedOn w:val="KommentartextZchn"/>
    <w:link w:val="Kommentarthema"/>
    <w:uiPriority w:val="99"/>
    <w:semiHidden/>
    <w:rsid w:val="00F125F5"/>
    <w:rPr>
      <w:rFonts w:ascii="Times New Roman" w:eastAsia="PMingLiU" w:hAnsi="Times New Roman" w:cs="Times New Roman"/>
      <w:b/>
      <w:bCs/>
      <w:sz w:val="20"/>
      <w:szCs w:val="20"/>
      <w:lang w:val="en-US"/>
    </w:rPr>
  </w:style>
  <w:style w:type="character" w:styleId="Kommentarzeichen">
    <w:name w:val="annotation reference"/>
    <w:uiPriority w:val="99"/>
    <w:semiHidden/>
    <w:unhideWhenUsed/>
    <w:rsid w:val="001B63B8"/>
    <w:rPr>
      <w:sz w:val="16"/>
      <w:szCs w:val="16"/>
    </w:rPr>
  </w:style>
  <w:style w:type="paragraph" w:styleId="Kopfzeile">
    <w:name w:val="header"/>
    <w:basedOn w:val="Standard"/>
    <w:link w:val="KopfzeileZchn"/>
    <w:uiPriority w:val="99"/>
    <w:unhideWhenUsed/>
    <w:rsid w:val="005A37A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37A3"/>
  </w:style>
  <w:style w:type="paragraph" w:styleId="Fuzeile">
    <w:name w:val="footer"/>
    <w:basedOn w:val="Standard"/>
    <w:link w:val="FuzeileZchn"/>
    <w:uiPriority w:val="99"/>
    <w:unhideWhenUsed/>
    <w:rsid w:val="005A37A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A37A3"/>
  </w:style>
  <w:style w:type="character" w:styleId="Hyperlink">
    <w:name w:val="Hyperlink"/>
    <w:basedOn w:val="Absatz-Standardschriftart"/>
    <w:uiPriority w:val="99"/>
    <w:unhideWhenUsed/>
    <w:rsid w:val="0081126D"/>
    <w:rPr>
      <w:color w:val="0563C1" w:themeColor="hyperlink"/>
      <w:u w:val="single"/>
    </w:rPr>
  </w:style>
  <w:style w:type="character" w:styleId="NichtaufgelsteErwhnung">
    <w:name w:val="Unresolved Mention"/>
    <w:basedOn w:val="Absatz-Standardschriftart"/>
    <w:uiPriority w:val="99"/>
    <w:semiHidden/>
    <w:unhideWhenUsed/>
    <w:rsid w:val="0081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ze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11411</Characters>
  <Application>Microsoft Office Word</Application>
  <DocSecurity>0</DocSecurity>
  <Lines>95</Lines>
  <Paragraphs>26</Paragraphs>
  <ScaleCrop>false</ScaleCrop>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Brülisauer</dc:creator>
  <cp:keywords/>
  <dc:description/>
  <cp:lastModifiedBy>Gilbert Brülisauer</cp:lastModifiedBy>
  <cp:revision>28</cp:revision>
  <dcterms:created xsi:type="dcterms:W3CDTF">2020-01-28T14:49:00Z</dcterms:created>
  <dcterms:modified xsi:type="dcterms:W3CDTF">2020-01-31T09:58:00Z</dcterms:modified>
</cp:coreProperties>
</file>